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1FE63" w14:textId="5646BAAA" w:rsidR="00F92A02" w:rsidRPr="00E915A1" w:rsidRDefault="00D43F17" w:rsidP="00582140">
      <w:pPr>
        <w:spacing w:after="240" w:line="276" w:lineRule="auto"/>
        <w:jc w:val="center"/>
        <w:rPr>
          <w:rStyle w:val="nfasis"/>
          <w:rFonts w:ascii="Maax" w:hAnsi="Maax"/>
          <w:bCs/>
          <w:sz w:val="48"/>
          <w:szCs w:val="48"/>
          <w:lang w:val="es-ES"/>
        </w:rPr>
      </w:pPr>
      <w:r>
        <w:rPr>
          <w:rFonts w:ascii="Trade Gothic LT Std Bold" w:hAnsi="Trade Gothic LT Std Bold"/>
          <w:iCs/>
          <w:sz w:val="48"/>
          <w:szCs w:val="48"/>
          <w:lang w:val="es-ES"/>
        </w:rPr>
        <w:t>ÚLTIMOS DIAS</w:t>
      </w:r>
      <w:r w:rsidR="00E915A1" w:rsidRPr="00E915A1">
        <w:rPr>
          <w:rFonts w:ascii="Trade Gothic LT Std Bold" w:hAnsi="Trade Gothic LT Std Bold"/>
          <w:iCs/>
          <w:sz w:val="48"/>
          <w:szCs w:val="48"/>
          <w:lang w:val="es-ES"/>
        </w:rPr>
        <w:t xml:space="preserve"> PARA DISFRUTAR DE</w:t>
      </w:r>
      <w:r w:rsidR="00D7233C" w:rsidRPr="00E915A1">
        <w:rPr>
          <w:rFonts w:ascii="Trade Gothic LT Std Bold" w:hAnsi="Trade Gothic LT Std Bold"/>
          <w:iCs/>
          <w:sz w:val="48"/>
          <w:szCs w:val="48"/>
          <w:lang w:val="es-ES"/>
        </w:rPr>
        <w:t xml:space="preserve"> </w:t>
      </w:r>
      <w:r w:rsidR="000A7F5F" w:rsidRPr="00E915A1">
        <w:rPr>
          <w:rFonts w:ascii="Trade Gothic LT Std Bold" w:hAnsi="Trade Gothic LT Std Bold"/>
          <w:i/>
          <w:sz w:val="48"/>
          <w:szCs w:val="48"/>
          <w:lang w:val="es-ES"/>
        </w:rPr>
        <w:t>ENTRELAZAMIENTOS</w:t>
      </w:r>
      <w:r w:rsidR="00D7233C" w:rsidRPr="00E915A1">
        <w:rPr>
          <w:rFonts w:ascii="Trade Gothic LT Std Bold" w:hAnsi="Trade Gothic LT Std Bold"/>
          <w:iCs/>
          <w:sz w:val="48"/>
          <w:szCs w:val="48"/>
          <w:lang w:val="es-ES"/>
        </w:rPr>
        <w:t>,</w:t>
      </w:r>
      <w:r w:rsidR="009E4C79" w:rsidRPr="00E915A1">
        <w:rPr>
          <w:rFonts w:ascii="Trade Gothic LT Std Bold" w:hAnsi="Trade Gothic LT Std Bold"/>
          <w:iCs/>
          <w:sz w:val="48"/>
          <w:szCs w:val="48"/>
          <w:lang w:val="es-ES"/>
        </w:rPr>
        <w:t xml:space="preserve"> </w:t>
      </w:r>
      <w:r w:rsidR="00F92A02" w:rsidRPr="00E915A1">
        <w:rPr>
          <w:rFonts w:ascii="Trade Gothic LT Std Bold" w:hAnsi="Trade Gothic LT Std Bold"/>
          <w:iCs/>
          <w:sz w:val="48"/>
          <w:szCs w:val="48"/>
          <w:lang w:val="es-ES"/>
        </w:rPr>
        <w:t xml:space="preserve">LA </w:t>
      </w:r>
      <w:r w:rsidR="000A7F5F" w:rsidRPr="00E915A1">
        <w:rPr>
          <w:rFonts w:ascii="Trade Gothic LT Std Bold" w:hAnsi="Trade Gothic LT Std Bold"/>
          <w:iCs/>
          <w:sz w:val="48"/>
          <w:szCs w:val="48"/>
          <w:lang w:val="es-ES"/>
        </w:rPr>
        <w:t>MAYOR</w:t>
      </w:r>
      <w:r w:rsidR="00F92A02" w:rsidRPr="00E915A1">
        <w:rPr>
          <w:rFonts w:ascii="Trade Gothic LT Std Bold" w:hAnsi="Trade Gothic LT Std Bold"/>
          <w:iCs/>
          <w:sz w:val="48"/>
          <w:szCs w:val="48"/>
          <w:lang w:val="es-ES"/>
        </w:rPr>
        <w:t xml:space="preserve"> </w:t>
      </w:r>
      <w:r w:rsidR="000A7F5F" w:rsidRPr="00E915A1">
        <w:rPr>
          <w:rFonts w:ascii="Trade Gothic LT Std Bold" w:hAnsi="Trade Gothic LT Std Bold"/>
          <w:iCs/>
          <w:sz w:val="48"/>
          <w:szCs w:val="48"/>
          <w:lang w:val="es-ES"/>
        </w:rPr>
        <w:t>EXPOSICIÓN INDIVIDUAL</w:t>
      </w:r>
      <w:r w:rsidR="00F92A02" w:rsidRPr="00E915A1">
        <w:rPr>
          <w:rFonts w:ascii="Trade Gothic LT Std Bold" w:hAnsi="Trade Gothic LT Std Bold"/>
          <w:iCs/>
          <w:sz w:val="48"/>
          <w:szCs w:val="48"/>
          <w:lang w:val="es-ES"/>
        </w:rPr>
        <w:t xml:space="preserve"> </w:t>
      </w:r>
      <w:r w:rsidR="000A7F5F" w:rsidRPr="00E915A1">
        <w:rPr>
          <w:rFonts w:ascii="Trade Gothic LT Std Bold" w:hAnsi="Trade Gothic LT Std Bold"/>
          <w:iCs/>
          <w:sz w:val="48"/>
          <w:szCs w:val="48"/>
          <w:lang w:val="es-ES"/>
        </w:rPr>
        <w:t>D</w:t>
      </w:r>
      <w:r w:rsidR="00F92A02" w:rsidRPr="00E915A1">
        <w:rPr>
          <w:rFonts w:ascii="Trade Gothic LT Std Bold" w:hAnsi="Trade Gothic LT Std Bold"/>
          <w:iCs/>
          <w:sz w:val="48"/>
          <w:szCs w:val="48"/>
          <w:lang w:val="es-ES"/>
        </w:rPr>
        <w:t xml:space="preserve">E </w:t>
      </w:r>
      <w:r w:rsidR="000A7F5F" w:rsidRPr="00E915A1">
        <w:rPr>
          <w:rFonts w:ascii="Trade Gothic LT Std Bold" w:hAnsi="Trade Gothic LT Std Bold"/>
          <w:iCs/>
          <w:sz w:val="48"/>
          <w:szCs w:val="48"/>
          <w:lang w:val="es-ES"/>
        </w:rPr>
        <w:t>YUKO MOHRI</w:t>
      </w:r>
      <w:r w:rsidR="007D0860" w:rsidRPr="00E915A1">
        <w:rPr>
          <w:rFonts w:ascii="Trade Gothic LT Std Bold" w:hAnsi="Trade Gothic LT Std Bold"/>
          <w:iCs/>
          <w:sz w:val="48"/>
          <w:szCs w:val="48"/>
          <w:lang w:val="es-ES"/>
        </w:rPr>
        <w:t xml:space="preserve"> EN EUROPA</w:t>
      </w:r>
      <w:r w:rsidR="0034149B" w:rsidRPr="00E915A1">
        <w:rPr>
          <w:rFonts w:ascii="Trade Gothic LT Std Bold" w:hAnsi="Trade Gothic LT Std Bold"/>
          <w:iCs/>
          <w:sz w:val="48"/>
          <w:szCs w:val="48"/>
          <w:lang w:val="es-ES"/>
        </w:rPr>
        <w:t xml:space="preserve"> Y </w:t>
      </w:r>
      <w:r w:rsidR="00A84144">
        <w:rPr>
          <w:rFonts w:ascii="Trade Gothic LT Std Bold" w:hAnsi="Trade Gothic LT Std Bold"/>
          <w:iCs/>
          <w:sz w:val="48"/>
          <w:szCs w:val="48"/>
          <w:lang w:val="es-ES"/>
        </w:rPr>
        <w:t xml:space="preserve">LA </w:t>
      </w:r>
      <w:r w:rsidR="0034149B" w:rsidRPr="00E915A1">
        <w:rPr>
          <w:rFonts w:ascii="Trade Gothic LT Std Bold" w:hAnsi="Trade Gothic LT Std Bold"/>
          <w:iCs/>
          <w:sz w:val="48"/>
          <w:szCs w:val="48"/>
          <w:lang w:val="es-ES"/>
        </w:rPr>
        <w:t>PRIMERA EN ESPAÑA</w:t>
      </w:r>
      <w:r w:rsidR="007D0860" w:rsidRPr="00E915A1">
        <w:rPr>
          <w:rStyle w:val="nfasis"/>
          <w:rFonts w:ascii="Maax" w:hAnsi="Maax"/>
          <w:bCs/>
          <w:sz w:val="48"/>
          <w:szCs w:val="48"/>
          <w:lang w:val="es-ES"/>
        </w:rPr>
        <w:t xml:space="preserve"> </w:t>
      </w:r>
    </w:p>
    <w:p w14:paraId="7B99032F" w14:textId="0D620F1F" w:rsidR="00E915A1" w:rsidRDefault="00E915A1" w:rsidP="00E915A1">
      <w:pPr>
        <w:pStyle w:val="Sinespaciado"/>
        <w:numPr>
          <w:ilvl w:val="0"/>
          <w:numId w:val="1"/>
        </w:numPr>
        <w:spacing w:after="240" w:line="300" w:lineRule="exact"/>
        <w:ind w:left="567"/>
        <w:rPr>
          <w:sz w:val="20"/>
          <w:szCs w:val="20"/>
          <w:lang w:val="es-ES"/>
        </w:rPr>
      </w:pPr>
      <w:r w:rsidRPr="00E915A1">
        <w:rPr>
          <w:sz w:val="20"/>
          <w:szCs w:val="20"/>
          <w:lang w:val="es-ES"/>
        </w:rPr>
        <w:t>Tras cinco meses abierta al público</w:t>
      </w:r>
      <w:r w:rsidR="00A84144">
        <w:rPr>
          <w:sz w:val="20"/>
          <w:szCs w:val="20"/>
          <w:lang w:val="es-ES"/>
        </w:rPr>
        <w:t xml:space="preserve"> en el Centro Botín</w:t>
      </w:r>
      <w:r w:rsidRPr="00E915A1">
        <w:rPr>
          <w:sz w:val="20"/>
          <w:szCs w:val="20"/>
          <w:lang w:val="es-ES"/>
        </w:rPr>
        <w:t>, la muestra cierra sus puertas este domingo</w:t>
      </w:r>
      <w:r w:rsidR="004007A2">
        <w:rPr>
          <w:sz w:val="20"/>
          <w:szCs w:val="20"/>
          <w:lang w:val="es-ES"/>
        </w:rPr>
        <w:t>,</w:t>
      </w:r>
      <w:r w:rsidRPr="00E915A1">
        <w:rPr>
          <w:sz w:val="20"/>
          <w:szCs w:val="20"/>
          <w:lang w:val="es-ES"/>
        </w:rPr>
        <w:t xml:space="preserve"> 6 de septiembre, </w:t>
      </w:r>
      <w:r w:rsidR="00A84144" w:rsidRPr="00A84144">
        <w:rPr>
          <w:sz w:val="20"/>
          <w:szCs w:val="20"/>
          <w:lang w:val="es-ES"/>
        </w:rPr>
        <w:t xml:space="preserve">ofreciendo </w:t>
      </w:r>
      <w:r w:rsidR="00D43F17">
        <w:rPr>
          <w:sz w:val="20"/>
          <w:szCs w:val="20"/>
          <w:lang w:val="es-ES"/>
        </w:rPr>
        <w:t>estos días</w:t>
      </w:r>
      <w:r w:rsidR="008B0618">
        <w:rPr>
          <w:sz w:val="20"/>
          <w:szCs w:val="20"/>
          <w:lang w:val="es-ES"/>
        </w:rPr>
        <w:t xml:space="preserve"> </w:t>
      </w:r>
      <w:r w:rsidR="00A84144" w:rsidRPr="00A84144">
        <w:rPr>
          <w:sz w:val="20"/>
          <w:szCs w:val="20"/>
          <w:lang w:val="es-ES"/>
        </w:rPr>
        <w:t>una última oportunidad</w:t>
      </w:r>
      <w:r w:rsidR="00A84144">
        <w:rPr>
          <w:sz w:val="20"/>
          <w:szCs w:val="20"/>
          <w:lang w:val="es-ES"/>
        </w:rPr>
        <w:t xml:space="preserve"> </w:t>
      </w:r>
      <w:r w:rsidR="004007A2" w:rsidRPr="004007A2">
        <w:rPr>
          <w:sz w:val="20"/>
          <w:szCs w:val="20"/>
          <w:lang w:val="es-ES"/>
        </w:rPr>
        <w:t>para descubrir la obra de una artista visionaria que explora los vínculos invisibles y las complejas interacciones entre objetos, fuerzas, sonidos y personas.</w:t>
      </w:r>
    </w:p>
    <w:p w14:paraId="35943D3D" w14:textId="545EE5A9" w:rsidR="001762C6" w:rsidRDefault="001762C6" w:rsidP="00E915A1">
      <w:pPr>
        <w:pStyle w:val="Sinespaciado"/>
        <w:numPr>
          <w:ilvl w:val="0"/>
          <w:numId w:val="1"/>
        </w:numPr>
        <w:spacing w:after="240" w:line="300" w:lineRule="exact"/>
        <w:ind w:left="567"/>
        <w:rPr>
          <w:sz w:val="20"/>
          <w:szCs w:val="20"/>
          <w:lang w:val="es-ES"/>
        </w:rPr>
      </w:pPr>
      <w:r w:rsidRPr="00540C5A">
        <w:rPr>
          <w:sz w:val="20"/>
          <w:szCs w:val="20"/>
          <w:lang w:val="es-ES"/>
        </w:rPr>
        <w:t xml:space="preserve">Organizada por Pirelli HangarBicocca y el Centro Botín, </w:t>
      </w:r>
      <w:r w:rsidR="004007A2" w:rsidRPr="004007A2">
        <w:rPr>
          <w:sz w:val="20"/>
          <w:szCs w:val="20"/>
          <w:lang w:val="es-ES"/>
        </w:rPr>
        <w:t>la exposición re</w:t>
      </w:r>
      <w:r w:rsidR="008B0618">
        <w:rPr>
          <w:sz w:val="20"/>
          <w:szCs w:val="20"/>
          <w:lang w:val="es-ES"/>
        </w:rPr>
        <w:t>ú</w:t>
      </w:r>
      <w:r w:rsidR="004007A2" w:rsidRPr="004007A2">
        <w:rPr>
          <w:sz w:val="20"/>
          <w:szCs w:val="20"/>
          <w:lang w:val="es-ES"/>
        </w:rPr>
        <w:t>n</w:t>
      </w:r>
      <w:r w:rsidR="008B0618">
        <w:rPr>
          <w:sz w:val="20"/>
          <w:szCs w:val="20"/>
          <w:lang w:val="es-ES"/>
        </w:rPr>
        <w:t>e</w:t>
      </w:r>
      <w:r w:rsidR="004007A2" w:rsidRPr="004007A2">
        <w:rPr>
          <w:sz w:val="20"/>
          <w:szCs w:val="20"/>
          <w:lang w:val="es-ES"/>
        </w:rPr>
        <w:t xml:space="preserve"> ocho esculturas cinéticas</w:t>
      </w:r>
      <w:r w:rsidR="004007A2">
        <w:rPr>
          <w:sz w:val="20"/>
          <w:szCs w:val="20"/>
          <w:lang w:val="es-ES"/>
        </w:rPr>
        <w:t xml:space="preserve"> </w:t>
      </w:r>
      <w:r w:rsidRPr="00540C5A">
        <w:rPr>
          <w:i/>
          <w:iCs/>
          <w:sz w:val="20"/>
          <w:szCs w:val="20"/>
          <w:lang w:val="es-ES"/>
        </w:rPr>
        <w:t>site-specific</w:t>
      </w:r>
      <w:r w:rsidR="004007A2">
        <w:rPr>
          <w:sz w:val="20"/>
          <w:szCs w:val="20"/>
          <w:lang w:val="es-ES"/>
        </w:rPr>
        <w:t xml:space="preserve">, </w:t>
      </w:r>
      <w:r w:rsidR="004007A2" w:rsidRPr="004007A2">
        <w:rPr>
          <w:sz w:val="20"/>
          <w:szCs w:val="20"/>
          <w:lang w:val="es-ES"/>
        </w:rPr>
        <w:t>realizadas a partir de objetos</w:t>
      </w:r>
      <w:r w:rsidR="004007A2">
        <w:rPr>
          <w:sz w:val="20"/>
          <w:szCs w:val="20"/>
          <w:lang w:val="es-ES"/>
        </w:rPr>
        <w:t xml:space="preserve"> </w:t>
      </w:r>
      <w:r w:rsidRPr="00540C5A">
        <w:rPr>
          <w:sz w:val="20"/>
          <w:szCs w:val="20"/>
          <w:lang w:val="es-ES"/>
        </w:rPr>
        <w:t xml:space="preserve">encontrados, instrumentos musicales </w:t>
      </w:r>
      <w:r w:rsidR="004007A2">
        <w:rPr>
          <w:sz w:val="20"/>
          <w:szCs w:val="20"/>
          <w:lang w:val="es-ES"/>
        </w:rPr>
        <w:t>y</w:t>
      </w:r>
      <w:r w:rsidRPr="00540C5A">
        <w:rPr>
          <w:sz w:val="20"/>
          <w:szCs w:val="20"/>
          <w:lang w:val="es-ES"/>
        </w:rPr>
        <w:t xml:space="preserve"> circuitos electrónicos</w:t>
      </w:r>
      <w:r w:rsidR="0094706B">
        <w:rPr>
          <w:sz w:val="20"/>
          <w:szCs w:val="20"/>
          <w:lang w:val="es-ES"/>
        </w:rPr>
        <w:t>,</w:t>
      </w:r>
      <w:r w:rsidRPr="00540C5A">
        <w:rPr>
          <w:sz w:val="20"/>
          <w:szCs w:val="20"/>
          <w:lang w:val="es-ES"/>
        </w:rPr>
        <w:t xml:space="preserve"> </w:t>
      </w:r>
      <w:r w:rsidR="0094706B" w:rsidRPr="0094706B">
        <w:rPr>
          <w:sz w:val="20"/>
          <w:szCs w:val="20"/>
          <w:lang w:val="es-ES"/>
        </w:rPr>
        <w:t>junto a un nuevo conjunto de pinturas, una instalación y material audiovisual y sonoro incorporados específicamente para su presentación en Santander.</w:t>
      </w:r>
    </w:p>
    <w:p w14:paraId="6DFE16AB" w14:textId="64721BFA" w:rsidR="0094706B" w:rsidRDefault="0094706B" w:rsidP="00E915A1">
      <w:pPr>
        <w:pStyle w:val="Sinespaciado"/>
        <w:numPr>
          <w:ilvl w:val="0"/>
          <w:numId w:val="1"/>
        </w:numPr>
        <w:spacing w:after="240" w:line="300" w:lineRule="exact"/>
        <w:ind w:left="567"/>
        <w:rPr>
          <w:sz w:val="20"/>
          <w:szCs w:val="20"/>
          <w:lang w:val="es-ES"/>
        </w:rPr>
      </w:pPr>
      <w:r w:rsidRPr="0094706B">
        <w:rPr>
          <w:sz w:val="20"/>
          <w:szCs w:val="20"/>
          <w:lang w:val="es-ES"/>
        </w:rPr>
        <w:t>Como última actividad vinculada a la muestra, el 4 de septiembre a las 19:00 horas, tendrá lugar una</w:t>
      </w:r>
      <w:r w:rsidR="008B0618">
        <w:rPr>
          <w:sz w:val="20"/>
          <w:szCs w:val="20"/>
          <w:lang w:val="es-ES"/>
        </w:rPr>
        <w:t xml:space="preserve"> última sesión de</w:t>
      </w:r>
      <w:r w:rsidRPr="0094706B">
        <w:rPr>
          <w:sz w:val="20"/>
          <w:szCs w:val="20"/>
          <w:lang w:val="es-ES"/>
        </w:rPr>
        <w:t xml:space="preserve"> la visita experiencia “Energía en movimiento”, en la que el bailarín Juan Manuel Rondo Epitie, </w:t>
      </w:r>
      <w:r w:rsidR="00C10201">
        <w:rPr>
          <w:sz w:val="20"/>
          <w:szCs w:val="20"/>
          <w:lang w:val="es-ES"/>
        </w:rPr>
        <w:t xml:space="preserve">alias </w:t>
      </w:r>
      <w:r w:rsidRPr="0094706B">
        <w:rPr>
          <w:sz w:val="20"/>
          <w:szCs w:val="20"/>
          <w:lang w:val="es-ES"/>
        </w:rPr>
        <w:t>Ronin, invitará a descubrir las instalaciones de Mohri a través del cuerpo y el movimiento.</w:t>
      </w:r>
    </w:p>
    <w:p w14:paraId="1B51D261" w14:textId="4F45D222" w:rsidR="00E055DE" w:rsidRDefault="0094706B" w:rsidP="00E915A1">
      <w:pPr>
        <w:pStyle w:val="Sinespaciado"/>
        <w:numPr>
          <w:ilvl w:val="0"/>
          <w:numId w:val="1"/>
        </w:numPr>
        <w:spacing w:after="240" w:line="300" w:lineRule="exact"/>
        <w:ind w:left="567"/>
        <w:rPr>
          <w:sz w:val="20"/>
          <w:szCs w:val="20"/>
          <w:lang w:val="es-ES"/>
        </w:rPr>
      </w:pPr>
      <w:r w:rsidRPr="0094706B">
        <w:rPr>
          <w:sz w:val="20"/>
          <w:szCs w:val="20"/>
          <w:lang w:val="es-ES"/>
        </w:rPr>
        <w:t>El programa expositivo del Centro Botín continuará</w:t>
      </w:r>
      <w:r w:rsidR="008B0618">
        <w:rPr>
          <w:sz w:val="20"/>
          <w:szCs w:val="20"/>
          <w:lang w:val="es-ES"/>
        </w:rPr>
        <w:t>, en esta segunda planta,</w:t>
      </w:r>
      <w:r w:rsidRPr="0094706B">
        <w:rPr>
          <w:sz w:val="20"/>
          <w:szCs w:val="20"/>
          <w:lang w:val="es-ES"/>
        </w:rPr>
        <w:t xml:space="preserve"> el 10 de octubre con </w:t>
      </w:r>
      <w:r w:rsidR="00E055DE" w:rsidRPr="00E43260">
        <w:rPr>
          <w:i/>
          <w:iCs/>
          <w:sz w:val="20"/>
          <w:szCs w:val="20"/>
          <w:lang w:val="es-ES"/>
        </w:rPr>
        <w:t>Del día o de la noche</w:t>
      </w:r>
      <w:r w:rsidR="00E055DE">
        <w:rPr>
          <w:sz w:val="20"/>
          <w:szCs w:val="20"/>
          <w:lang w:val="es-ES"/>
        </w:rPr>
        <w:t xml:space="preserve">, </w:t>
      </w:r>
      <w:r w:rsidR="00E055DE" w:rsidRPr="00E055DE">
        <w:rPr>
          <w:sz w:val="20"/>
          <w:szCs w:val="20"/>
          <w:lang w:val="es-ES"/>
        </w:rPr>
        <w:t xml:space="preserve">la primera exposición en España </w:t>
      </w:r>
      <w:r w:rsidRPr="0094706B">
        <w:rPr>
          <w:sz w:val="20"/>
          <w:szCs w:val="20"/>
          <w:lang w:val="es-ES"/>
        </w:rPr>
        <w:t>de la artista brasileña</w:t>
      </w:r>
      <w:r w:rsidR="00E055DE" w:rsidRPr="00E055DE">
        <w:rPr>
          <w:sz w:val="20"/>
          <w:szCs w:val="20"/>
          <w:lang w:val="es-ES"/>
        </w:rPr>
        <w:t xml:space="preserve"> Solange Pessoa, que podrá visitarse hasta el 28 de marzo de 2027. </w:t>
      </w:r>
    </w:p>
    <w:p w14:paraId="68AC210F" w14:textId="5D66B1A5" w:rsidR="00BC1DAC" w:rsidRPr="00BC1DAC" w:rsidRDefault="009E4C79" w:rsidP="00BC1DAC">
      <w:pPr>
        <w:pStyle w:val="Body"/>
        <w:spacing w:line="360" w:lineRule="auto"/>
        <w:jc w:val="both"/>
        <w:rPr>
          <w:rFonts w:ascii="Maax" w:hAnsi="Maax"/>
          <w:sz w:val="20"/>
          <w:szCs w:val="20"/>
          <w:lang w:val="es-ES"/>
        </w:rPr>
      </w:pPr>
      <w:r w:rsidRPr="00540C5A">
        <w:rPr>
          <w:rFonts w:ascii="Maax" w:hAnsi="Maax"/>
          <w:i/>
          <w:color w:val="auto"/>
          <w:sz w:val="20"/>
          <w:szCs w:val="20"/>
          <w:lang w:val="es-ES"/>
        </w:rPr>
        <w:t xml:space="preserve">Santander, </w:t>
      </w:r>
      <w:r w:rsidR="00780ED4">
        <w:rPr>
          <w:rFonts w:ascii="Maax" w:hAnsi="Maax"/>
          <w:i/>
          <w:color w:val="auto"/>
          <w:sz w:val="20"/>
          <w:szCs w:val="20"/>
          <w:lang w:val="es-ES"/>
        </w:rPr>
        <w:t>01 de septiembre</w:t>
      </w:r>
      <w:r w:rsidR="00275E82" w:rsidRPr="00540C5A">
        <w:rPr>
          <w:rFonts w:ascii="Maax" w:hAnsi="Maax"/>
          <w:i/>
          <w:color w:val="auto"/>
          <w:sz w:val="20"/>
          <w:szCs w:val="20"/>
          <w:lang w:val="es-ES"/>
        </w:rPr>
        <w:t xml:space="preserve"> </w:t>
      </w:r>
      <w:r w:rsidRPr="00540C5A">
        <w:rPr>
          <w:rFonts w:ascii="Maax" w:hAnsi="Maax"/>
          <w:i/>
          <w:color w:val="auto"/>
          <w:sz w:val="20"/>
          <w:szCs w:val="20"/>
          <w:lang w:val="es-ES"/>
        </w:rPr>
        <w:t>de 202</w:t>
      </w:r>
      <w:r w:rsidR="00736B4C">
        <w:rPr>
          <w:rFonts w:ascii="Maax" w:hAnsi="Maax"/>
          <w:i/>
          <w:color w:val="auto"/>
          <w:sz w:val="20"/>
          <w:szCs w:val="20"/>
          <w:lang w:val="es-ES"/>
        </w:rPr>
        <w:t>6</w:t>
      </w:r>
      <w:r w:rsidRPr="00540C5A">
        <w:rPr>
          <w:rFonts w:ascii="Maax" w:hAnsi="Maax"/>
          <w:i/>
          <w:color w:val="auto"/>
          <w:sz w:val="20"/>
          <w:szCs w:val="20"/>
          <w:lang w:val="es-ES"/>
        </w:rPr>
        <w:t>.-</w:t>
      </w:r>
      <w:r w:rsidRPr="00540C5A">
        <w:rPr>
          <w:rFonts w:ascii="Maax" w:hAnsi="Maax"/>
          <w:color w:val="auto"/>
          <w:sz w:val="20"/>
          <w:szCs w:val="20"/>
          <w:lang w:val="es-ES"/>
        </w:rPr>
        <w:t xml:space="preserve"> </w:t>
      </w:r>
      <w:r w:rsidR="00BC1DAC" w:rsidRPr="00BC1DAC">
        <w:rPr>
          <w:rFonts w:ascii="Maax" w:hAnsi="Maax"/>
          <w:sz w:val="20"/>
          <w:szCs w:val="20"/>
          <w:lang w:val="es-ES"/>
        </w:rPr>
        <w:t xml:space="preserve">Tras cinco meses abierta al público, </w:t>
      </w:r>
      <w:r w:rsidR="00BC1DAC" w:rsidRPr="00BC1DAC">
        <w:rPr>
          <w:rFonts w:ascii="Maax" w:hAnsi="Maax"/>
          <w:i/>
          <w:iCs/>
          <w:sz w:val="20"/>
          <w:szCs w:val="20"/>
          <w:u w:val="single"/>
          <w:lang w:val="es-ES"/>
        </w:rPr>
        <w:t>Entrelazamientos</w:t>
      </w:r>
      <w:r w:rsidR="00BC1DAC" w:rsidRPr="00BC1DAC">
        <w:rPr>
          <w:rFonts w:ascii="Maax" w:hAnsi="Maax"/>
          <w:sz w:val="20"/>
          <w:szCs w:val="20"/>
          <w:u w:val="single"/>
          <w:lang w:val="es-ES"/>
        </w:rPr>
        <w:t xml:space="preserve"> entra en su recta final en el Centro Botín. La mayor exposición individual de Yuko Mohri en Europa</w:t>
      </w:r>
      <w:r w:rsidR="00BC1DAC">
        <w:rPr>
          <w:rFonts w:ascii="Maax" w:hAnsi="Maax"/>
          <w:sz w:val="20"/>
          <w:szCs w:val="20"/>
          <w:u w:val="single"/>
          <w:lang w:val="es-ES"/>
        </w:rPr>
        <w:t>,</w:t>
      </w:r>
      <w:r w:rsidR="00BC1DAC" w:rsidRPr="00BC1DAC">
        <w:rPr>
          <w:rFonts w:ascii="Maax" w:hAnsi="Maax"/>
          <w:sz w:val="20"/>
          <w:szCs w:val="20"/>
          <w:u w:val="single"/>
          <w:lang w:val="es-ES"/>
        </w:rPr>
        <w:t xml:space="preserve"> y la primera en España</w:t>
      </w:r>
      <w:r w:rsidR="00BC1DAC">
        <w:rPr>
          <w:rFonts w:ascii="Maax" w:hAnsi="Maax"/>
          <w:sz w:val="20"/>
          <w:szCs w:val="20"/>
          <w:u w:val="single"/>
          <w:lang w:val="es-ES"/>
        </w:rPr>
        <w:t>,</w:t>
      </w:r>
      <w:r w:rsidR="00BC1DAC" w:rsidRPr="00BC1DAC">
        <w:rPr>
          <w:rFonts w:ascii="Maax" w:hAnsi="Maax"/>
          <w:sz w:val="20"/>
          <w:szCs w:val="20"/>
          <w:u w:val="single"/>
          <w:lang w:val="es-ES"/>
        </w:rPr>
        <w:t xml:space="preserve"> cerrará sus puertas </w:t>
      </w:r>
      <w:r w:rsidR="00BC1DAC">
        <w:rPr>
          <w:rFonts w:ascii="Maax" w:hAnsi="Maax"/>
          <w:sz w:val="20"/>
          <w:szCs w:val="20"/>
          <w:u w:val="single"/>
          <w:lang w:val="es-ES"/>
        </w:rPr>
        <w:t>este</w:t>
      </w:r>
      <w:r w:rsidR="00BC1DAC" w:rsidRPr="00BC1DAC">
        <w:rPr>
          <w:rFonts w:ascii="Maax" w:hAnsi="Maax"/>
          <w:sz w:val="20"/>
          <w:szCs w:val="20"/>
          <w:u w:val="single"/>
          <w:lang w:val="es-ES"/>
        </w:rPr>
        <w:t xml:space="preserve"> domingo, 6 de septiembre, </w:t>
      </w:r>
      <w:r w:rsidR="008D6CC7" w:rsidRPr="008D6CC7">
        <w:rPr>
          <w:sz w:val="20"/>
          <w:szCs w:val="20"/>
          <w:u w:val="single"/>
          <w:lang w:val="es-ES"/>
        </w:rPr>
        <w:t xml:space="preserve">ofreciendo </w:t>
      </w:r>
      <w:r w:rsidR="00D43F17">
        <w:rPr>
          <w:sz w:val="20"/>
          <w:szCs w:val="20"/>
          <w:u w:val="single"/>
          <w:lang w:val="es-ES"/>
        </w:rPr>
        <w:t>estos días</w:t>
      </w:r>
      <w:r w:rsidR="008D6CC7" w:rsidRPr="008D6CC7">
        <w:rPr>
          <w:sz w:val="20"/>
          <w:szCs w:val="20"/>
          <w:u w:val="single"/>
          <w:lang w:val="es-ES"/>
        </w:rPr>
        <w:t xml:space="preserve"> una</w:t>
      </w:r>
      <w:r w:rsidR="008D6CC7">
        <w:rPr>
          <w:sz w:val="20"/>
          <w:szCs w:val="20"/>
          <w:lang w:val="es-ES"/>
        </w:rPr>
        <w:t xml:space="preserve"> </w:t>
      </w:r>
      <w:r w:rsidR="00BC1DAC" w:rsidRPr="00BC1DAC">
        <w:rPr>
          <w:rFonts w:ascii="Maax" w:hAnsi="Maax"/>
          <w:sz w:val="20"/>
          <w:szCs w:val="20"/>
          <w:u w:val="single"/>
          <w:lang w:val="es-ES"/>
        </w:rPr>
        <w:t>última oportunidad para descubrir el singular universo creativo de la artista japonesa</w:t>
      </w:r>
      <w:r w:rsidR="00BC1DAC" w:rsidRPr="00BC1DAC">
        <w:rPr>
          <w:rFonts w:ascii="Maax" w:hAnsi="Maax"/>
          <w:sz w:val="20"/>
          <w:szCs w:val="20"/>
          <w:lang w:val="es-ES"/>
        </w:rPr>
        <w:t xml:space="preserve">. A lo largo de estos meses, la muestra ha despertado el interés del público </w:t>
      </w:r>
      <w:r w:rsidR="00E43260" w:rsidRPr="00E43260">
        <w:rPr>
          <w:rFonts w:ascii="Maax" w:hAnsi="Maax"/>
          <w:sz w:val="20"/>
          <w:szCs w:val="20"/>
          <w:lang w:val="es-ES"/>
        </w:rPr>
        <w:t>y ha permitido descubrir una práctica artística basada en ensamblajes efímeros y sistemas interconectados, que explora el potencial transformador de objetos cotidianos y elementos naturales</w:t>
      </w:r>
      <w:r w:rsidR="00E43260">
        <w:rPr>
          <w:rFonts w:ascii="Maax" w:hAnsi="Maax"/>
          <w:sz w:val="20"/>
          <w:szCs w:val="20"/>
          <w:lang w:val="es-ES"/>
        </w:rPr>
        <w:t>,</w:t>
      </w:r>
      <w:r w:rsidR="00E43260" w:rsidRPr="00E43260">
        <w:rPr>
          <w:rFonts w:ascii="Maax" w:hAnsi="Maax"/>
          <w:sz w:val="20"/>
          <w:szCs w:val="20"/>
          <w:lang w:val="es-ES"/>
        </w:rPr>
        <w:t xml:space="preserve"> y su capacidad para generar efectos visuales y sonoros.</w:t>
      </w:r>
    </w:p>
    <w:p w14:paraId="2E7D19E3" w14:textId="77777777" w:rsidR="00BC1DAC" w:rsidRPr="00BC1DAC" w:rsidRDefault="00BC1DAC" w:rsidP="00BC1DAC">
      <w:pPr>
        <w:pStyle w:val="Body"/>
        <w:spacing w:line="360" w:lineRule="auto"/>
        <w:jc w:val="both"/>
        <w:rPr>
          <w:rFonts w:ascii="Maax" w:hAnsi="Maax"/>
          <w:sz w:val="20"/>
          <w:szCs w:val="20"/>
          <w:lang w:val="es-ES"/>
        </w:rPr>
      </w:pPr>
      <w:r w:rsidRPr="00BC1DAC">
        <w:rPr>
          <w:rFonts w:ascii="Maax" w:hAnsi="Maax"/>
          <w:sz w:val="20"/>
          <w:szCs w:val="20"/>
          <w:lang w:val="es-ES"/>
        </w:rPr>
        <w:t>Ese interés ha tenido también reflejo en medios locales, nacionales e internacionales, que han destacado el “lenguaje único, innovador e inconfundible” de Mohri y han descrito la exposición como una experiencia “extraordinaria”, que oscila “entre lo lúdico y lo inquietante”, además de como una “visita obligada y todo un descubrimiento”.</w:t>
      </w:r>
    </w:p>
    <w:p w14:paraId="1056E05A" w14:textId="3875A690" w:rsidR="00BC1DAC" w:rsidRPr="00BC1DAC" w:rsidRDefault="00BC1DAC" w:rsidP="00BC1DAC">
      <w:pPr>
        <w:pStyle w:val="Body"/>
        <w:spacing w:line="360" w:lineRule="auto"/>
        <w:jc w:val="both"/>
        <w:rPr>
          <w:rFonts w:ascii="Maax" w:hAnsi="Maax"/>
          <w:sz w:val="20"/>
          <w:szCs w:val="20"/>
          <w:lang w:val="es-ES"/>
        </w:rPr>
      </w:pPr>
      <w:r w:rsidRPr="00BC1DAC">
        <w:rPr>
          <w:rFonts w:ascii="Maax" w:hAnsi="Maax"/>
          <w:sz w:val="20"/>
          <w:szCs w:val="20"/>
          <w:lang w:val="es-ES"/>
        </w:rPr>
        <w:lastRenderedPageBreak/>
        <w:t xml:space="preserve">Yuko Mohri (Kanagawa, Japón, 1980), seleccionada en 2024 para representar a Japón en la 60ª Bienal de Venecia, crea esculturas cinéticas </w:t>
      </w:r>
      <w:r w:rsidRPr="00BC1DAC">
        <w:rPr>
          <w:rFonts w:ascii="Maax" w:hAnsi="Maax"/>
          <w:i/>
          <w:iCs/>
          <w:sz w:val="20"/>
          <w:szCs w:val="20"/>
          <w:lang w:val="es-ES"/>
        </w:rPr>
        <w:t>site-specific</w:t>
      </w:r>
      <w:r w:rsidRPr="00BC1DAC">
        <w:rPr>
          <w:rFonts w:ascii="Maax" w:hAnsi="Maax"/>
          <w:sz w:val="20"/>
          <w:szCs w:val="20"/>
          <w:lang w:val="es-ES"/>
        </w:rPr>
        <w:t xml:space="preserve"> a partir de objetos encontrados, instrumentos musicales reelaborados y circuitos electrónicos. Inspirada por </w:t>
      </w:r>
      <w:r w:rsidRPr="00540C5A">
        <w:rPr>
          <w:rFonts w:ascii="Maax" w:hAnsi="Maax"/>
          <w:color w:val="auto"/>
          <w:sz w:val="20"/>
          <w:szCs w:val="20"/>
          <w:lang w:val="es-ES"/>
        </w:rPr>
        <w:t>Marcel Duchamp (1887-1968) y Alexander Calder (1898-1976)</w:t>
      </w:r>
      <w:r w:rsidRPr="00BC1DAC">
        <w:rPr>
          <w:rFonts w:ascii="Maax" w:hAnsi="Maax"/>
          <w:sz w:val="20"/>
          <w:szCs w:val="20"/>
          <w:lang w:val="es-ES"/>
        </w:rPr>
        <w:t xml:space="preserve">, su obra responde a fenómenos imperceptibles y </w:t>
      </w:r>
      <w:r w:rsidR="005D7EAD">
        <w:rPr>
          <w:rFonts w:ascii="Maax" w:hAnsi="Maax"/>
          <w:sz w:val="20"/>
          <w:szCs w:val="20"/>
          <w:lang w:val="es-ES"/>
        </w:rPr>
        <w:t xml:space="preserve">efímeros, </w:t>
      </w:r>
      <w:r w:rsidRPr="00BC1DAC">
        <w:rPr>
          <w:rFonts w:ascii="Maax" w:hAnsi="Maax"/>
          <w:sz w:val="20"/>
          <w:szCs w:val="20"/>
          <w:lang w:val="es-ES"/>
        </w:rPr>
        <w:t>como la gravedad, el magnetismo, el calor o la humedad</w:t>
      </w:r>
      <w:r w:rsidR="005D7EAD">
        <w:rPr>
          <w:rFonts w:ascii="Maax" w:hAnsi="Maax"/>
          <w:sz w:val="20"/>
          <w:szCs w:val="20"/>
          <w:lang w:val="es-ES"/>
        </w:rPr>
        <w:t>,</w:t>
      </w:r>
      <w:r w:rsidRPr="00BC1DAC">
        <w:rPr>
          <w:rFonts w:ascii="Maax" w:hAnsi="Maax"/>
          <w:sz w:val="20"/>
          <w:szCs w:val="20"/>
          <w:lang w:val="es-ES"/>
        </w:rPr>
        <w:t xml:space="preserve"> y a elementos ambientales como el aire, el polvo</w:t>
      </w:r>
      <w:r w:rsidR="005D7EAD">
        <w:rPr>
          <w:rFonts w:ascii="Maax" w:hAnsi="Maax"/>
          <w:sz w:val="20"/>
          <w:szCs w:val="20"/>
          <w:lang w:val="es-ES"/>
        </w:rPr>
        <w:t xml:space="preserve">, </w:t>
      </w:r>
      <w:r w:rsidR="005D7EAD" w:rsidRPr="00540C5A">
        <w:rPr>
          <w:rFonts w:ascii="Maax" w:hAnsi="Maax"/>
          <w:color w:val="auto"/>
          <w:sz w:val="20"/>
          <w:szCs w:val="20"/>
          <w:lang w:val="es-ES"/>
        </w:rPr>
        <w:t>los escombros</w:t>
      </w:r>
      <w:r w:rsidRPr="00BC1DAC">
        <w:rPr>
          <w:rFonts w:ascii="Maax" w:hAnsi="Maax"/>
          <w:sz w:val="20"/>
          <w:szCs w:val="20"/>
          <w:lang w:val="es-ES"/>
        </w:rPr>
        <w:t xml:space="preserve"> o la temperatura, que transforman sus ensamblajes en ecosistemas orgánicos en los que el sonido ocupa un lugar central.</w:t>
      </w:r>
      <w:r w:rsidR="005D7EAD">
        <w:rPr>
          <w:rFonts w:ascii="Maax" w:hAnsi="Maax"/>
          <w:sz w:val="20"/>
          <w:szCs w:val="20"/>
          <w:lang w:val="es-ES"/>
        </w:rPr>
        <w:t xml:space="preserve"> </w:t>
      </w:r>
    </w:p>
    <w:p w14:paraId="6FE989BA" w14:textId="4E27B2ED" w:rsidR="00BC1DAC" w:rsidRPr="00BC1DAC" w:rsidRDefault="00BC1DAC" w:rsidP="00BC1DAC">
      <w:pPr>
        <w:pStyle w:val="Body"/>
        <w:spacing w:line="360" w:lineRule="auto"/>
        <w:jc w:val="both"/>
        <w:rPr>
          <w:rFonts w:ascii="Maax" w:hAnsi="Maax"/>
          <w:sz w:val="20"/>
          <w:szCs w:val="20"/>
          <w:lang w:val="es-ES"/>
        </w:rPr>
      </w:pPr>
      <w:r w:rsidRPr="00BC1DAC">
        <w:rPr>
          <w:rFonts w:ascii="Maax" w:hAnsi="Maax"/>
          <w:sz w:val="20"/>
          <w:szCs w:val="20"/>
          <w:lang w:val="es-ES"/>
        </w:rPr>
        <w:t xml:space="preserve">El título </w:t>
      </w:r>
      <w:r w:rsidRPr="00BC1DAC">
        <w:rPr>
          <w:rFonts w:ascii="Maax" w:hAnsi="Maax"/>
          <w:i/>
          <w:iCs/>
          <w:sz w:val="20"/>
          <w:szCs w:val="20"/>
          <w:lang w:val="es-ES"/>
        </w:rPr>
        <w:t>Entrelazamientos</w:t>
      </w:r>
      <w:r w:rsidRPr="00BC1DAC">
        <w:rPr>
          <w:rFonts w:ascii="Maax" w:hAnsi="Maax"/>
          <w:sz w:val="20"/>
          <w:szCs w:val="20"/>
          <w:lang w:val="es-ES"/>
        </w:rPr>
        <w:t xml:space="preserve"> sintetiza</w:t>
      </w:r>
      <w:r>
        <w:rPr>
          <w:rFonts w:ascii="Maax" w:hAnsi="Maax"/>
          <w:sz w:val="20"/>
          <w:szCs w:val="20"/>
          <w:lang w:val="es-ES"/>
        </w:rPr>
        <w:t>,</w:t>
      </w:r>
      <w:r w:rsidRPr="00BC1DAC">
        <w:rPr>
          <w:rFonts w:ascii="Maax" w:hAnsi="Maax"/>
          <w:sz w:val="20"/>
          <w:szCs w:val="20"/>
          <w:lang w:val="es-ES"/>
        </w:rPr>
        <w:t xml:space="preserve"> precisamente</w:t>
      </w:r>
      <w:r>
        <w:rPr>
          <w:rFonts w:ascii="Maax" w:hAnsi="Maax"/>
          <w:sz w:val="20"/>
          <w:szCs w:val="20"/>
          <w:lang w:val="es-ES"/>
        </w:rPr>
        <w:t>,</w:t>
      </w:r>
      <w:r w:rsidRPr="00BC1DAC">
        <w:rPr>
          <w:rFonts w:ascii="Maax" w:hAnsi="Maax"/>
          <w:sz w:val="20"/>
          <w:szCs w:val="20"/>
          <w:lang w:val="es-ES"/>
        </w:rPr>
        <w:t xml:space="preserve"> una de las ideas fundamentales de la muestra</w:t>
      </w:r>
      <w:r>
        <w:rPr>
          <w:rFonts w:ascii="Maax" w:hAnsi="Maax"/>
          <w:sz w:val="20"/>
          <w:szCs w:val="20"/>
          <w:lang w:val="es-ES"/>
        </w:rPr>
        <w:t xml:space="preserve"> del Centro Botín</w:t>
      </w:r>
      <w:r w:rsidRPr="00BC1DAC">
        <w:rPr>
          <w:rFonts w:ascii="Maax" w:hAnsi="Maax"/>
          <w:sz w:val="20"/>
          <w:szCs w:val="20"/>
          <w:lang w:val="es-ES"/>
        </w:rPr>
        <w:t>: los vínculos invisibles y las complejas interacciones entre objetos, fuerzas, sonidos y personas, dentro de sistemas en los que nada actúa de manera independiente. Las esculturas de Mohri, delicadamente equilibradas, revelan</w:t>
      </w:r>
      <w:r>
        <w:rPr>
          <w:rFonts w:ascii="Maax" w:hAnsi="Maax"/>
          <w:sz w:val="20"/>
          <w:szCs w:val="20"/>
          <w:lang w:val="es-ES"/>
        </w:rPr>
        <w:t>, de esta manera,</w:t>
      </w:r>
      <w:r w:rsidRPr="00BC1DAC">
        <w:rPr>
          <w:rFonts w:ascii="Maax" w:hAnsi="Maax"/>
          <w:sz w:val="20"/>
          <w:szCs w:val="20"/>
          <w:lang w:val="es-ES"/>
        </w:rPr>
        <w:t xml:space="preserve"> la complejidad latente de las estructuras naturales y artificiales que constituyen nuestro mundo y el flujo constante de energía que nos rodea.</w:t>
      </w:r>
    </w:p>
    <w:p w14:paraId="04D3A8D4" w14:textId="75B50D7E" w:rsidR="00BC1DAC" w:rsidRPr="00BC1DAC" w:rsidRDefault="00BC1DAC" w:rsidP="00BC1DAC">
      <w:pPr>
        <w:pStyle w:val="Body"/>
        <w:spacing w:line="360" w:lineRule="auto"/>
        <w:jc w:val="both"/>
        <w:rPr>
          <w:rFonts w:ascii="Maax" w:hAnsi="Maax"/>
          <w:sz w:val="20"/>
          <w:szCs w:val="20"/>
          <w:lang w:val="es-ES"/>
        </w:rPr>
      </w:pPr>
      <w:r w:rsidRPr="00BC1DAC">
        <w:rPr>
          <w:rFonts w:ascii="Maax" w:hAnsi="Maax"/>
          <w:sz w:val="20"/>
          <w:szCs w:val="20"/>
          <w:lang w:val="es-ES"/>
        </w:rPr>
        <w:t>La exposición ha reunido obras que abarcan desde mediados de la década de los 2000 hasta los proyectos más recientes de Mohri, una producción que la artista modifica y adapta continuamente a los espacios en los que se instala. En Santander, las características arquitectónicas y ambientales del edificio de Renzo Piano y su relación con la bahía han desempeñado un papel determinante en la configuración y la atmósfera de las piezas.</w:t>
      </w:r>
      <w:r w:rsidR="005D7EAD">
        <w:rPr>
          <w:rFonts w:ascii="Maax" w:hAnsi="Maax"/>
          <w:sz w:val="20"/>
          <w:szCs w:val="20"/>
          <w:lang w:val="es-ES"/>
        </w:rPr>
        <w:t xml:space="preserve"> </w:t>
      </w:r>
      <w:r w:rsidRPr="00BC1DAC">
        <w:rPr>
          <w:rFonts w:ascii="Maax" w:hAnsi="Maax"/>
          <w:sz w:val="20"/>
          <w:szCs w:val="20"/>
          <w:lang w:val="es-ES"/>
        </w:rPr>
        <w:t>La presentación en el Centro Botín ha ampliado, además, la organizada anteriormente en Pirelli HangarBicocca</w:t>
      </w:r>
      <w:r w:rsidR="00CD0369">
        <w:rPr>
          <w:rFonts w:ascii="Maax" w:hAnsi="Maax"/>
          <w:sz w:val="20"/>
          <w:szCs w:val="20"/>
          <w:lang w:val="es-ES"/>
        </w:rPr>
        <w:t xml:space="preserve"> (</w:t>
      </w:r>
      <w:r w:rsidRPr="00BC1DAC">
        <w:rPr>
          <w:rFonts w:ascii="Maax" w:hAnsi="Maax"/>
          <w:sz w:val="20"/>
          <w:szCs w:val="20"/>
          <w:lang w:val="es-ES"/>
        </w:rPr>
        <w:t>Milán,</w:t>
      </w:r>
      <w:r w:rsidR="00CD0369">
        <w:rPr>
          <w:rFonts w:ascii="Maax" w:hAnsi="Maax"/>
          <w:sz w:val="20"/>
          <w:szCs w:val="20"/>
          <w:lang w:val="es-ES"/>
        </w:rPr>
        <w:t xml:space="preserve"> Italia),</w:t>
      </w:r>
      <w:r w:rsidRPr="00BC1DAC">
        <w:rPr>
          <w:rFonts w:ascii="Maax" w:hAnsi="Maax"/>
          <w:sz w:val="20"/>
          <w:szCs w:val="20"/>
          <w:lang w:val="es-ES"/>
        </w:rPr>
        <w:t xml:space="preserve"> incorporando nuevos contenidos creados específicamente para Santander, entre ellos</w:t>
      </w:r>
      <w:r w:rsidR="005D7EAD">
        <w:rPr>
          <w:rFonts w:ascii="Maax" w:hAnsi="Maax"/>
          <w:sz w:val="20"/>
          <w:szCs w:val="20"/>
          <w:lang w:val="es-ES"/>
        </w:rPr>
        <w:t>,</w:t>
      </w:r>
      <w:r w:rsidRPr="00BC1DAC">
        <w:rPr>
          <w:rFonts w:ascii="Maax" w:hAnsi="Maax"/>
          <w:sz w:val="20"/>
          <w:szCs w:val="20"/>
          <w:lang w:val="es-ES"/>
        </w:rPr>
        <w:t xml:space="preserve"> un conjunto de pinturas realizadas </w:t>
      </w:r>
      <w:r w:rsidRPr="00BC1DAC">
        <w:rPr>
          <w:rFonts w:ascii="Maax" w:hAnsi="Maax"/>
          <w:i/>
          <w:iCs/>
          <w:sz w:val="20"/>
          <w:szCs w:val="20"/>
          <w:lang w:val="es-ES"/>
        </w:rPr>
        <w:t>in situ</w:t>
      </w:r>
      <w:r w:rsidRPr="00BC1DAC">
        <w:rPr>
          <w:rFonts w:ascii="Maax" w:hAnsi="Maax"/>
          <w:sz w:val="20"/>
          <w:szCs w:val="20"/>
          <w:lang w:val="es-ES"/>
        </w:rPr>
        <w:t xml:space="preserve"> sobre tela tensada de altavoz para evocar visualmente el sonido y el movimiento de sus instalaciones.</w:t>
      </w:r>
    </w:p>
    <w:p w14:paraId="7AFFAB01" w14:textId="77777777" w:rsidR="00E43260" w:rsidRPr="00E43260" w:rsidRDefault="00E43260" w:rsidP="00ED5446">
      <w:pPr>
        <w:pStyle w:val="Body"/>
        <w:spacing w:line="360" w:lineRule="auto"/>
        <w:jc w:val="both"/>
        <w:rPr>
          <w:rFonts w:ascii="Maax" w:hAnsi="Maax"/>
          <w:b/>
          <w:bCs/>
          <w:i/>
          <w:iCs/>
          <w:color w:val="auto"/>
          <w:sz w:val="20"/>
          <w:szCs w:val="20"/>
          <w:u w:val="single"/>
          <w:lang w:val="es-ES"/>
        </w:rPr>
      </w:pPr>
      <w:r w:rsidRPr="00E43260">
        <w:rPr>
          <w:rFonts w:ascii="Maax" w:hAnsi="Maax"/>
          <w:b/>
          <w:bCs/>
          <w:color w:val="auto"/>
          <w:sz w:val="20"/>
          <w:szCs w:val="20"/>
          <w:u w:val="single"/>
          <w:lang w:val="es-ES"/>
        </w:rPr>
        <w:t xml:space="preserve">Un recorrido por las obras de </w:t>
      </w:r>
      <w:r w:rsidRPr="00E43260">
        <w:rPr>
          <w:rFonts w:ascii="Maax" w:hAnsi="Maax"/>
          <w:b/>
          <w:bCs/>
          <w:i/>
          <w:iCs/>
          <w:color w:val="auto"/>
          <w:sz w:val="20"/>
          <w:szCs w:val="20"/>
          <w:u w:val="single"/>
          <w:lang w:val="es-ES"/>
        </w:rPr>
        <w:t>Entrelazamientos</w:t>
      </w:r>
    </w:p>
    <w:p w14:paraId="255AA4D3" w14:textId="6751598A" w:rsidR="00366930" w:rsidRDefault="00366930" w:rsidP="00ED5446">
      <w:pPr>
        <w:pStyle w:val="Body"/>
        <w:spacing w:line="360" w:lineRule="auto"/>
        <w:jc w:val="both"/>
        <w:rPr>
          <w:rFonts w:ascii="Maax" w:hAnsi="Maax"/>
          <w:color w:val="auto"/>
          <w:sz w:val="20"/>
          <w:szCs w:val="20"/>
          <w:lang w:val="es-ES"/>
        </w:rPr>
      </w:pPr>
      <w:r w:rsidRPr="00366930">
        <w:rPr>
          <w:rFonts w:ascii="Maax" w:hAnsi="Maax"/>
          <w:color w:val="auto"/>
          <w:sz w:val="20"/>
          <w:szCs w:val="20"/>
          <w:lang w:val="es-ES"/>
        </w:rPr>
        <w:t>Las ocho esculturas cinéticas reunidas en la exposición han mostrado diferentes maneras de convertir fenómenos cotidianos en complejos sistemas de interacción.</w:t>
      </w:r>
      <w:r w:rsidRPr="00366930">
        <w:rPr>
          <w:rFonts w:ascii="Times New Roman" w:hAnsi="Times New Roman" w:cs="Times New Roman"/>
          <w:color w:val="auto"/>
          <w:sz w:val="24"/>
          <w:szCs w:val="24"/>
          <w:lang w:val="es-ES" w:eastAsia="en-US"/>
          <w14:textOutline w14:w="0" w14:cap="rnd" w14:cmpd="sng" w14:algn="ctr">
            <w14:noFill/>
            <w14:prstDash w14:val="solid"/>
            <w14:bevel/>
          </w14:textOutline>
        </w:rPr>
        <w:t xml:space="preserve"> </w:t>
      </w:r>
      <w:r w:rsidRPr="00366930">
        <w:rPr>
          <w:rFonts w:ascii="Maax" w:hAnsi="Maax"/>
          <w:color w:val="auto"/>
          <w:sz w:val="20"/>
          <w:szCs w:val="20"/>
          <w:lang w:val="es-ES"/>
        </w:rPr>
        <w:t xml:space="preserve">En </w:t>
      </w:r>
      <w:r w:rsidRPr="00366930">
        <w:rPr>
          <w:rFonts w:ascii="Maax" w:hAnsi="Maax"/>
          <w:i/>
          <w:iCs/>
          <w:color w:val="auto"/>
          <w:sz w:val="20"/>
          <w:szCs w:val="20"/>
          <w:lang w:val="es-ES"/>
        </w:rPr>
        <w:t>Flutter</w:t>
      </w:r>
      <w:r w:rsidRPr="00366930">
        <w:rPr>
          <w:rFonts w:ascii="Maax" w:hAnsi="Maax"/>
          <w:color w:val="auto"/>
          <w:sz w:val="20"/>
          <w:szCs w:val="20"/>
          <w:lang w:val="es-ES"/>
        </w:rPr>
        <w:t xml:space="preserve"> (2018</w:t>
      </w:r>
      <w:r w:rsidR="00323C4A">
        <w:rPr>
          <w:rFonts w:ascii="Maax" w:hAnsi="Maax"/>
          <w:color w:val="auto"/>
          <w:sz w:val="20"/>
          <w:szCs w:val="20"/>
          <w:lang w:val="es-ES"/>
        </w:rPr>
        <w:t>-2025</w:t>
      </w:r>
      <w:r w:rsidRPr="00366930">
        <w:rPr>
          <w:rFonts w:ascii="Maax" w:hAnsi="Maax"/>
          <w:color w:val="auto"/>
          <w:sz w:val="20"/>
          <w:szCs w:val="20"/>
          <w:lang w:val="es-ES"/>
        </w:rPr>
        <w:t>), por ejemplo, los movimientos y cambios de luz producidos en un acuario activan una cadena de respuestas visuales y sonoras</w:t>
      </w:r>
      <w:r w:rsidR="005D7EAD">
        <w:rPr>
          <w:rFonts w:ascii="Maax" w:hAnsi="Maax"/>
          <w:color w:val="auto"/>
          <w:sz w:val="20"/>
          <w:szCs w:val="20"/>
          <w:lang w:val="es-ES"/>
        </w:rPr>
        <w:t>,</w:t>
      </w:r>
      <w:r w:rsidRPr="00366930">
        <w:rPr>
          <w:rFonts w:ascii="Maax" w:hAnsi="Maax"/>
          <w:color w:val="auto"/>
          <w:sz w:val="20"/>
          <w:szCs w:val="20"/>
          <w:lang w:val="es-ES"/>
        </w:rPr>
        <w:t xml:space="preserve"> mientras que en </w:t>
      </w:r>
      <w:r w:rsidRPr="00366930">
        <w:rPr>
          <w:rFonts w:ascii="Maax" w:hAnsi="Maax"/>
          <w:i/>
          <w:iCs/>
          <w:color w:val="auto"/>
          <w:sz w:val="20"/>
          <w:szCs w:val="20"/>
          <w:lang w:val="es-ES"/>
        </w:rPr>
        <w:t xml:space="preserve">Piano Solo: </w:t>
      </w:r>
      <w:r w:rsidR="00323C4A">
        <w:rPr>
          <w:rFonts w:ascii="Maax" w:hAnsi="Maax"/>
          <w:i/>
          <w:iCs/>
          <w:color w:val="auto"/>
          <w:sz w:val="20"/>
          <w:szCs w:val="20"/>
          <w:lang w:val="es-ES"/>
        </w:rPr>
        <w:t>Costa Quebrada</w:t>
      </w:r>
      <w:r w:rsidR="00323C4A">
        <w:rPr>
          <w:rFonts w:ascii="Maax" w:hAnsi="Maax"/>
          <w:color w:val="auto"/>
          <w:sz w:val="20"/>
          <w:szCs w:val="20"/>
          <w:lang w:val="es-ES"/>
        </w:rPr>
        <w:t xml:space="preserve"> </w:t>
      </w:r>
      <w:r w:rsidRPr="00366930">
        <w:rPr>
          <w:rFonts w:ascii="Maax" w:hAnsi="Maax"/>
          <w:color w:val="auto"/>
          <w:sz w:val="20"/>
          <w:szCs w:val="20"/>
          <w:lang w:val="es-ES"/>
        </w:rPr>
        <w:t>(202</w:t>
      </w:r>
      <w:r w:rsidR="00323C4A">
        <w:rPr>
          <w:rFonts w:ascii="Maax" w:hAnsi="Maax"/>
          <w:color w:val="auto"/>
          <w:sz w:val="20"/>
          <w:szCs w:val="20"/>
          <w:lang w:val="es-ES"/>
        </w:rPr>
        <w:t>6</w:t>
      </w:r>
      <w:r w:rsidRPr="00366930">
        <w:rPr>
          <w:rFonts w:ascii="Maax" w:hAnsi="Maax"/>
          <w:color w:val="auto"/>
          <w:sz w:val="20"/>
          <w:szCs w:val="20"/>
          <w:lang w:val="es-ES"/>
        </w:rPr>
        <w:t>) es la propia naturaleza la que se convierte en intérprete, transformando sonidos ambientales en una composición ejecutada de manera autónoma por un piano modificado. Para su presentación en Santander, Mohri incorporó</w:t>
      </w:r>
      <w:r w:rsidR="00323C4A">
        <w:rPr>
          <w:rFonts w:ascii="Maax" w:hAnsi="Maax"/>
          <w:color w:val="auto"/>
          <w:sz w:val="20"/>
          <w:szCs w:val="20"/>
          <w:lang w:val="es-ES"/>
        </w:rPr>
        <w:t xml:space="preserve"> </w:t>
      </w:r>
      <w:r w:rsidRPr="00366930">
        <w:rPr>
          <w:rFonts w:ascii="Maax" w:hAnsi="Maax"/>
          <w:color w:val="auto"/>
          <w:sz w:val="20"/>
          <w:szCs w:val="20"/>
          <w:lang w:val="es-ES"/>
        </w:rPr>
        <w:t>imágenes y sonidos registrados en distintos puntos del litoral cántabro.</w:t>
      </w:r>
    </w:p>
    <w:p w14:paraId="6D8032E0" w14:textId="3934E5F2" w:rsidR="005D097A" w:rsidRPr="005D097A" w:rsidRDefault="003037CA" w:rsidP="003037CA">
      <w:pPr>
        <w:pStyle w:val="Body"/>
        <w:spacing w:line="360" w:lineRule="auto"/>
        <w:jc w:val="both"/>
        <w:rPr>
          <w:rFonts w:ascii="Maax" w:hAnsi="Maax"/>
          <w:sz w:val="20"/>
          <w:szCs w:val="20"/>
          <w:lang w:val="es-ES"/>
        </w:rPr>
      </w:pPr>
      <w:r w:rsidRPr="003037CA">
        <w:rPr>
          <w:rFonts w:ascii="Maax" w:hAnsi="Maax"/>
          <w:color w:val="auto"/>
          <w:sz w:val="20"/>
          <w:szCs w:val="20"/>
          <w:lang w:val="es-ES"/>
        </w:rPr>
        <w:t xml:space="preserve">En </w:t>
      </w:r>
      <w:r w:rsidRPr="003037CA">
        <w:rPr>
          <w:rFonts w:ascii="Maax" w:hAnsi="Maax"/>
          <w:i/>
          <w:iCs/>
          <w:color w:val="auto"/>
          <w:sz w:val="20"/>
          <w:szCs w:val="20"/>
          <w:lang w:val="es-ES"/>
        </w:rPr>
        <w:t>You Locked Me Up in a Grave, You Owe Me at Least the Peace of a Grave</w:t>
      </w:r>
      <w:r w:rsidRPr="003037CA">
        <w:rPr>
          <w:rFonts w:ascii="Maax" w:hAnsi="Maax"/>
          <w:color w:val="auto"/>
          <w:sz w:val="20"/>
          <w:szCs w:val="20"/>
          <w:lang w:val="es-ES"/>
        </w:rPr>
        <w:t xml:space="preserve"> (2018), una escalera de caracol suspendida y giratoria articula una experiencia inmersiva en la que sonido, luz y movimiento se combinan en una coreografía hipnótica.</w:t>
      </w:r>
      <w:r w:rsidRPr="003037CA">
        <w:rPr>
          <w:rFonts w:ascii="Times New Roman" w:hAnsi="Times New Roman" w:cs="Times New Roman"/>
          <w:color w:val="auto"/>
          <w:sz w:val="24"/>
          <w:szCs w:val="24"/>
          <w:lang w:val="es-ES" w:eastAsia="en-US"/>
          <w14:textOutline w14:w="0" w14:cap="rnd" w14:cmpd="sng" w14:algn="ctr">
            <w14:noFill/>
            <w14:prstDash w14:val="solid"/>
            <w14:bevel/>
          </w14:textOutline>
        </w:rPr>
        <w:t xml:space="preserve"> </w:t>
      </w:r>
      <w:r w:rsidRPr="003037CA">
        <w:rPr>
          <w:rFonts w:ascii="Maax" w:hAnsi="Maax"/>
          <w:color w:val="auto"/>
          <w:sz w:val="20"/>
          <w:szCs w:val="20"/>
          <w:lang w:val="es-ES"/>
        </w:rPr>
        <w:t>La pieza incorpora</w:t>
      </w:r>
      <w:r w:rsidR="005D7EAD">
        <w:rPr>
          <w:rFonts w:ascii="Maax" w:hAnsi="Maax"/>
          <w:color w:val="auto"/>
          <w:sz w:val="20"/>
          <w:szCs w:val="20"/>
          <w:lang w:val="es-ES"/>
        </w:rPr>
        <w:t>,</w:t>
      </w:r>
      <w:r w:rsidRPr="003037CA">
        <w:rPr>
          <w:rFonts w:ascii="Maax" w:hAnsi="Maax"/>
          <w:color w:val="auto"/>
          <w:sz w:val="20"/>
          <w:szCs w:val="20"/>
          <w:lang w:val="es-ES"/>
        </w:rPr>
        <w:t xml:space="preserve"> además</w:t>
      </w:r>
      <w:r w:rsidR="005D7EAD">
        <w:rPr>
          <w:rFonts w:ascii="Maax" w:hAnsi="Maax"/>
          <w:color w:val="auto"/>
          <w:sz w:val="20"/>
          <w:szCs w:val="20"/>
          <w:lang w:val="es-ES"/>
        </w:rPr>
        <w:t>,</w:t>
      </w:r>
      <w:r w:rsidRPr="003037CA">
        <w:rPr>
          <w:rFonts w:ascii="Maax" w:hAnsi="Maax"/>
          <w:color w:val="auto"/>
          <w:sz w:val="20"/>
          <w:szCs w:val="20"/>
          <w:lang w:val="es-ES"/>
        </w:rPr>
        <w:t xml:space="preserve"> vibraciones, rotación y referencias al pensamiento del revolucionario francés Louis-Auguste Blanqui, profundizando en ideas como la circularidad y el movimiento constante.</w:t>
      </w:r>
      <w:r w:rsidR="005D7EAD">
        <w:rPr>
          <w:rFonts w:ascii="Maax" w:hAnsi="Maax"/>
          <w:color w:val="auto"/>
          <w:sz w:val="20"/>
          <w:szCs w:val="20"/>
          <w:lang w:val="es-ES"/>
        </w:rPr>
        <w:t xml:space="preserve"> Por otro lado, l</w:t>
      </w:r>
      <w:r w:rsidRPr="003037CA">
        <w:rPr>
          <w:rFonts w:ascii="Maax" w:hAnsi="Maax"/>
          <w:sz w:val="20"/>
          <w:szCs w:val="20"/>
          <w:lang w:val="es-ES"/>
        </w:rPr>
        <w:t xml:space="preserve">a transformación de la materia ha sido también protagonista en </w:t>
      </w:r>
      <w:r w:rsidRPr="003037CA">
        <w:rPr>
          <w:rFonts w:ascii="Maax" w:hAnsi="Maax"/>
          <w:i/>
          <w:iCs/>
          <w:sz w:val="20"/>
          <w:szCs w:val="20"/>
          <w:lang w:val="es-ES"/>
        </w:rPr>
        <w:t>Decomposition</w:t>
      </w:r>
      <w:r w:rsidRPr="003037CA">
        <w:rPr>
          <w:rFonts w:ascii="Maax" w:hAnsi="Maax"/>
          <w:sz w:val="20"/>
          <w:szCs w:val="20"/>
          <w:lang w:val="es-ES"/>
        </w:rPr>
        <w:t xml:space="preserve"> (2021-en curso), presentada previamente en el Pabellón de Japón </w:t>
      </w:r>
      <w:r w:rsidRPr="00540C5A">
        <w:rPr>
          <w:rFonts w:ascii="Maax" w:hAnsi="Maax"/>
          <w:color w:val="auto"/>
          <w:sz w:val="20"/>
          <w:szCs w:val="20"/>
          <w:lang w:val="es-ES"/>
        </w:rPr>
        <w:t xml:space="preserve">de la </w:t>
      </w:r>
      <w:r w:rsidRPr="00540C5A">
        <w:rPr>
          <w:rFonts w:ascii="Maax" w:hAnsi="Maax"/>
          <w:color w:val="auto"/>
          <w:sz w:val="20"/>
          <w:szCs w:val="20"/>
          <w:lang w:val="es-ES"/>
        </w:rPr>
        <w:lastRenderedPageBreak/>
        <w:t>60ª Bienal de Venecia</w:t>
      </w:r>
      <w:r w:rsidRPr="003037CA">
        <w:rPr>
          <w:rFonts w:ascii="Maax" w:hAnsi="Maax"/>
          <w:sz w:val="20"/>
          <w:szCs w:val="20"/>
          <w:lang w:val="es-ES"/>
        </w:rPr>
        <w:t xml:space="preserve">, donde la descomposición de distintas frutas genera electricidad y activa sonidos y variaciones lumínicas. Por su parte, </w:t>
      </w:r>
      <w:r w:rsidRPr="003037CA">
        <w:rPr>
          <w:rFonts w:ascii="Maax" w:hAnsi="Maax"/>
          <w:i/>
          <w:iCs/>
          <w:sz w:val="20"/>
          <w:szCs w:val="20"/>
          <w:lang w:val="es-ES"/>
        </w:rPr>
        <w:t>Moré Moré (Leaky): Variations</w:t>
      </w:r>
      <w:r w:rsidRPr="003037CA">
        <w:rPr>
          <w:rFonts w:ascii="Maax" w:hAnsi="Maax"/>
          <w:sz w:val="20"/>
          <w:szCs w:val="20"/>
          <w:lang w:val="es-ES"/>
        </w:rPr>
        <w:t xml:space="preserve"> (2018) parte de las soluciones improvisadas utilizadas para contener fugas de agua en el Metro de Tokio y las convierte, mediante paraguas, ollas, </w:t>
      </w:r>
      <w:r>
        <w:rPr>
          <w:rFonts w:ascii="Maax" w:hAnsi="Maax"/>
          <w:sz w:val="20"/>
          <w:szCs w:val="20"/>
          <w:lang w:val="es-ES"/>
        </w:rPr>
        <w:t>sartenes</w:t>
      </w:r>
      <w:r w:rsidRPr="003037CA">
        <w:rPr>
          <w:rFonts w:ascii="Maax" w:hAnsi="Maax"/>
          <w:sz w:val="20"/>
          <w:szCs w:val="20"/>
          <w:lang w:val="es-ES"/>
        </w:rPr>
        <w:t xml:space="preserve"> y</w:t>
      </w:r>
      <w:r>
        <w:rPr>
          <w:rFonts w:ascii="Maax" w:hAnsi="Maax"/>
          <w:sz w:val="20"/>
          <w:szCs w:val="20"/>
          <w:lang w:val="es-ES"/>
        </w:rPr>
        <w:t xml:space="preserve"> una</w:t>
      </w:r>
      <w:r w:rsidRPr="003037CA">
        <w:rPr>
          <w:rFonts w:ascii="Maax" w:hAnsi="Maax"/>
          <w:sz w:val="20"/>
          <w:szCs w:val="20"/>
          <w:lang w:val="es-ES"/>
        </w:rPr>
        <w:t xml:space="preserve"> bomba de agua, en un circuito en continuo funcionamiento.</w:t>
      </w:r>
      <w:r w:rsidR="005D7EAD">
        <w:rPr>
          <w:rFonts w:ascii="Maax" w:hAnsi="Maax"/>
          <w:sz w:val="20"/>
          <w:szCs w:val="20"/>
          <w:lang w:val="es-ES"/>
        </w:rPr>
        <w:t xml:space="preserve"> </w:t>
      </w:r>
      <w:r w:rsidR="005D097A" w:rsidRPr="005D097A">
        <w:rPr>
          <w:rFonts w:ascii="Maax" w:hAnsi="Maax"/>
          <w:sz w:val="20"/>
          <w:szCs w:val="20"/>
          <w:lang w:val="es-ES"/>
        </w:rPr>
        <w:t xml:space="preserve">También ha formado parte de la muestra </w:t>
      </w:r>
      <w:r w:rsidR="005D097A" w:rsidRPr="005D097A">
        <w:rPr>
          <w:rFonts w:ascii="Maax" w:hAnsi="Maax"/>
          <w:i/>
          <w:iCs/>
          <w:sz w:val="20"/>
          <w:szCs w:val="20"/>
          <w:lang w:val="es-ES"/>
        </w:rPr>
        <w:t>I/O</w:t>
      </w:r>
      <w:r w:rsidR="005D097A" w:rsidRPr="005D097A">
        <w:rPr>
          <w:rFonts w:ascii="Maax" w:hAnsi="Maax"/>
          <w:sz w:val="20"/>
          <w:szCs w:val="20"/>
          <w:lang w:val="es-ES"/>
        </w:rPr>
        <w:t xml:space="preserve"> (2011-en curso), una instalación en la que las condiciones del propio espacio expositivo y las huellas ambientales acumuladas sobre rollos de papel suspendidos activan, mediante un escáner, diferentes objetos, luces e instrumentos, incorporando el azar como un elemento más de la composición.</w:t>
      </w:r>
    </w:p>
    <w:p w14:paraId="71B1C45A" w14:textId="68C8F631" w:rsidR="003037CA" w:rsidRDefault="00A84144" w:rsidP="003037CA">
      <w:pPr>
        <w:pStyle w:val="Body"/>
        <w:spacing w:line="360" w:lineRule="auto"/>
        <w:jc w:val="both"/>
        <w:rPr>
          <w:rFonts w:ascii="Maax" w:hAnsi="Maax"/>
          <w:sz w:val="20"/>
          <w:szCs w:val="20"/>
          <w:lang w:val="es-ES"/>
        </w:rPr>
      </w:pPr>
      <w:r>
        <w:rPr>
          <w:rFonts w:ascii="Maax" w:hAnsi="Maax"/>
          <w:sz w:val="20"/>
          <w:szCs w:val="20"/>
          <w:lang w:val="es-ES"/>
        </w:rPr>
        <w:t>L</w:t>
      </w:r>
      <w:r w:rsidR="005D097A" w:rsidRPr="005D097A">
        <w:rPr>
          <w:rFonts w:ascii="Maax" w:hAnsi="Maax"/>
          <w:sz w:val="20"/>
          <w:szCs w:val="20"/>
          <w:lang w:val="es-ES"/>
        </w:rPr>
        <w:t>a exposición se completa con un catálogo en inglés y español, realizado por Pirelli HangarBicocca, que constituye la monografía más completa publicada hasta la fecha sobre la práctica artística de Yuko Mohri.</w:t>
      </w:r>
    </w:p>
    <w:p w14:paraId="419BA35F" w14:textId="4D0432B9" w:rsidR="005D097A" w:rsidRPr="005D097A" w:rsidRDefault="005D097A" w:rsidP="003037CA">
      <w:pPr>
        <w:pStyle w:val="Body"/>
        <w:spacing w:line="360" w:lineRule="auto"/>
        <w:jc w:val="both"/>
        <w:rPr>
          <w:rFonts w:ascii="Maax" w:hAnsi="Maax"/>
          <w:b/>
          <w:bCs/>
          <w:sz w:val="20"/>
          <w:szCs w:val="20"/>
          <w:u w:val="single"/>
          <w:lang w:val="es-ES"/>
        </w:rPr>
      </w:pPr>
      <w:r w:rsidRPr="005D097A">
        <w:rPr>
          <w:rFonts w:ascii="Maax" w:hAnsi="Maax"/>
          <w:b/>
          <w:bCs/>
          <w:sz w:val="20"/>
          <w:szCs w:val="20"/>
          <w:u w:val="single"/>
          <w:lang w:val="es-ES"/>
        </w:rPr>
        <w:t xml:space="preserve">Una exposición para experimentar </w:t>
      </w:r>
    </w:p>
    <w:p w14:paraId="5BC81E91" w14:textId="21399FCF" w:rsidR="005D097A" w:rsidRDefault="005D097A" w:rsidP="00ED5446">
      <w:pPr>
        <w:pStyle w:val="Body"/>
        <w:spacing w:line="360" w:lineRule="auto"/>
        <w:jc w:val="both"/>
        <w:rPr>
          <w:rFonts w:ascii="Maax" w:hAnsi="Maax"/>
          <w:color w:val="auto"/>
          <w:sz w:val="20"/>
          <w:szCs w:val="20"/>
          <w:lang w:val="es-ES"/>
        </w:rPr>
      </w:pPr>
      <w:r w:rsidRPr="005D097A">
        <w:rPr>
          <w:rFonts w:ascii="Maax" w:hAnsi="Maax"/>
          <w:color w:val="auto"/>
          <w:sz w:val="20"/>
          <w:szCs w:val="20"/>
          <w:lang w:val="es-ES"/>
        </w:rPr>
        <w:t xml:space="preserve">Durante estos meses, el Centro Botín ha acompañado </w:t>
      </w:r>
      <w:r w:rsidRPr="005D097A">
        <w:rPr>
          <w:rFonts w:ascii="Maax" w:hAnsi="Maax"/>
          <w:i/>
          <w:iCs/>
          <w:color w:val="auto"/>
          <w:sz w:val="20"/>
          <w:szCs w:val="20"/>
          <w:lang w:val="es-ES"/>
        </w:rPr>
        <w:t>Entrelazamientos</w:t>
      </w:r>
      <w:r w:rsidRPr="005D097A">
        <w:rPr>
          <w:rFonts w:ascii="Maax" w:hAnsi="Maax"/>
          <w:color w:val="auto"/>
          <w:sz w:val="20"/>
          <w:szCs w:val="20"/>
          <w:lang w:val="es-ES"/>
        </w:rPr>
        <w:t xml:space="preserve"> con un amplio programa de actividades que ha permitido aproximarse a la obra de Yuko Mohri desde distintas perspectivas y lenguajes. Talleres de creación, visitas comentadas y experiencias participativas han invitado al público a explorar las conexiones, sonidos, movimientos y fenómenos cotidianos presentes en sus instalaciones, reforzando el carácter vivo y cambiante de la exposición.</w:t>
      </w:r>
    </w:p>
    <w:p w14:paraId="21A8C305" w14:textId="45B45D03" w:rsidR="005D097A" w:rsidRPr="005D097A" w:rsidRDefault="005D097A" w:rsidP="00ED5446">
      <w:pPr>
        <w:pStyle w:val="Body"/>
        <w:spacing w:line="360" w:lineRule="auto"/>
        <w:jc w:val="both"/>
        <w:rPr>
          <w:rFonts w:ascii="Maax" w:hAnsi="Maax"/>
          <w:color w:val="auto"/>
          <w:sz w:val="20"/>
          <w:szCs w:val="20"/>
          <w:lang w:val="es-ES"/>
        </w:rPr>
      </w:pPr>
      <w:r w:rsidRPr="005D097A">
        <w:rPr>
          <w:rFonts w:ascii="Maax" w:hAnsi="Maax"/>
          <w:color w:val="auto"/>
          <w:sz w:val="20"/>
          <w:szCs w:val="20"/>
          <w:lang w:val="es-ES"/>
        </w:rPr>
        <w:t>Entre estas propuestas</w:t>
      </w:r>
      <w:r w:rsidR="00C10201">
        <w:rPr>
          <w:rFonts w:ascii="Maax" w:hAnsi="Maax"/>
          <w:color w:val="auto"/>
          <w:sz w:val="20"/>
          <w:szCs w:val="20"/>
          <w:lang w:val="es-ES"/>
        </w:rPr>
        <w:t>,</w:t>
      </w:r>
      <w:r w:rsidRPr="005D097A">
        <w:rPr>
          <w:rFonts w:ascii="Maax" w:hAnsi="Maax"/>
          <w:color w:val="auto"/>
          <w:sz w:val="20"/>
          <w:szCs w:val="20"/>
          <w:lang w:val="es-ES"/>
        </w:rPr>
        <w:t xml:space="preserve"> </w:t>
      </w:r>
      <w:r w:rsidR="00C10201" w:rsidRPr="00540C5A">
        <w:rPr>
          <w:rFonts w:ascii="Maax" w:hAnsi="Maax"/>
          <w:color w:val="auto"/>
          <w:sz w:val="20"/>
          <w:szCs w:val="20"/>
          <w:lang w:val="es-ES"/>
        </w:rPr>
        <w:t>la Fundación Botín</w:t>
      </w:r>
      <w:r w:rsidR="00EE06D6">
        <w:rPr>
          <w:rFonts w:ascii="Maax" w:hAnsi="Maax"/>
          <w:color w:val="auto"/>
          <w:sz w:val="20"/>
          <w:szCs w:val="20"/>
          <w:lang w:val="es-ES"/>
        </w:rPr>
        <w:t xml:space="preserve"> </w:t>
      </w:r>
      <w:r w:rsidR="00C10201">
        <w:rPr>
          <w:rFonts w:ascii="Maax" w:hAnsi="Maax"/>
          <w:color w:val="auto"/>
          <w:sz w:val="20"/>
          <w:szCs w:val="20"/>
          <w:lang w:val="es-ES"/>
        </w:rPr>
        <w:t>organizó</w:t>
      </w:r>
      <w:r w:rsidR="008B0618" w:rsidRPr="005D097A">
        <w:rPr>
          <w:rFonts w:ascii="Maax" w:hAnsi="Maax"/>
          <w:color w:val="auto"/>
          <w:sz w:val="20"/>
          <w:szCs w:val="20"/>
          <w:lang w:val="es-ES"/>
        </w:rPr>
        <w:t xml:space="preserve"> </w:t>
      </w:r>
      <w:r w:rsidRPr="005D097A">
        <w:rPr>
          <w:rFonts w:ascii="Maax" w:hAnsi="Maax"/>
          <w:color w:val="auto"/>
          <w:sz w:val="20"/>
          <w:szCs w:val="20"/>
          <w:lang w:val="es-ES"/>
        </w:rPr>
        <w:t>el taller</w:t>
      </w:r>
      <w:r w:rsidR="008B0618">
        <w:rPr>
          <w:rFonts w:ascii="Maax" w:hAnsi="Maax"/>
          <w:color w:val="auto"/>
          <w:sz w:val="20"/>
          <w:szCs w:val="20"/>
          <w:lang w:val="es-ES"/>
        </w:rPr>
        <w:t xml:space="preserve"> de arte</w:t>
      </w:r>
      <w:r w:rsidRPr="005D097A">
        <w:rPr>
          <w:rFonts w:ascii="Maax" w:hAnsi="Maax"/>
          <w:color w:val="auto"/>
          <w:sz w:val="20"/>
          <w:szCs w:val="20"/>
          <w:lang w:val="es-ES"/>
        </w:rPr>
        <w:t xml:space="preserve"> “Moré Moré (Leaky): Santander”, inspirado en </w:t>
      </w:r>
      <w:r w:rsidRPr="00C10201">
        <w:rPr>
          <w:rFonts w:ascii="Maax" w:hAnsi="Maax"/>
          <w:color w:val="auto"/>
          <w:sz w:val="20"/>
          <w:szCs w:val="20"/>
          <w:lang w:val="es-ES"/>
        </w:rPr>
        <w:t>esta serie de piezas</w:t>
      </w:r>
      <w:r w:rsidR="00C10201" w:rsidRPr="00C10201">
        <w:rPr>
          <w:rFonts w:ascii="Maax" w:hAnsi="Maax"/>
          <w:color w:val="auto"/>
          <w:sz w:val="20"/>
          <w:szCs w:val="20"/>
          <w:lang w:val="es-ES"/>
        </w:rPr>
        <w:t>, donde participantes nacionales e internacionales formaron parte de una experiencia colaborativa y de intercambio creativo.</w:t>
      </w:r>
      <w:r w:rsidR="00C10201">
        <w:rPr>
          <w:rFonts w:ascii="Maax" w:hAnsi="Maax"/>
          <w:color w:val="auto"/>
          <w:sz w:val="20"/>
          <w:szCs w:val="20"/>
          <w:lang w:val="es-ES"/>
        </w:rPr>
        <w:t xml:space="preserve"> En cuanto a las actividades en sala, se han desarrollado </w:t>
      </w:r>
      <w:r w:rsidR="008D6CC7">
        <w:rPr>
          <w:rFonts w:ascii="Maax" w:hAnsi="Maax"/>
          <w:color w:val="auto"/>
          <w:sz w:val="20"/>
          <w:szCs w:val="20"/>
          <w:lang w:val="es-ES"/>
        </w:rPr>
        <w:t xml:space="preserve">otras </w:t>
      </w:r>
      <w:r w:rsidR="00EE06D6">
        <w:rPr>
          <w:rFonts w:ascii="Maax" w:hAnsi="Maax"/>
          <w:color w:val="auto"/>
          <w:sz w:val="20"/>
          <w:szCs w:val="20"/>
          <w:lang w:val="es-ES"/>
        </w:rPr>
        <w:t>propuestas como</w:t>
      </w:r>
      <w:r w:rsidR="00C10201">
        <w:rPr>
          <w:rFonts w:ascii="Maax" w:hAnsi="Maax"/>
          <w:color w:val="auto"/>
          <w:sz w:val="20"/>
          <w:szCs w:val="20"/>
          <w:lang w:val="es-ES"/>
        </w:rPr>
        <w:t xml:space="preserve"> </w:t>
      </w:r>
      <w:r w:rsidRPr="005D097A">
        <w:rPr>
          <w:rFonts w:ascii="Maax" w:hAnsi="Maax"/>
          <w:color w:val="auto"/>
          <w:sz w:val="20"/>
          <w:szCs w:val="20"/>
          <w:lang w:val="es-ES"/>
        </w:rPr>
        <w:t xml:space="preserve">“Lectura, arte, silencio y tú”, que puso en diálogo las obras de Mohri con una selección de textos recomendados por las bibliotecas de Cantabria; “De Milán a Santander”, una visita comentada que permitió descubrir cómo la exposición evolucionó desde su presentación en Pirelli HangarBicocca </w:t>
      </w:r>
      <w:r>
        <w:rPr>
          <w:rFonts w:ascii="Maax" w:hAnsi="Maax"/>
          <w:color w:val="auto"/>
          <w:sz w:val="20"/>
          <w:szCs w:val="20"/>
          <w:lang w:val="es-ES"/>
        </w:rPr>
        <w:t xml:space="preserve">de Milán </w:t>
      </w:r>
      <w:r w:rsidRPr="005D097A">
        <w:rPr>
          <w:rFonts w:ascii="Maax" w:hAnsi="Maax"/>
          <w:color w:val="auto"/>
          <w:sz w:val="20"/>
          <w:szCs w:val="20"/>
          <w:lang w:val="es-ES"/>
        </w:rPr>
        <w:t>hasta su adaptación a las características del Centro Botín</w:t>
      </w:r>
      <w:r>
        <w:rPr>
          <w:rFonts w:ascii="Maax" w:hAnsi="Maax"/>
          <w:color w:val="auto"/>
          <w:sz w:val="20"/>
          <w:szCs w:val="20"/>
          <w:lang w:val="es-ES"/>
        </w:rPr>
        <w:t xml:space="preserve">; o </w:t>
      </w:r>
      <w:r w:rsidR="00A84144">
        <w:rPr>
          <w:rFonts w:ascii="Maax" w:hAnsi="Maax"/>
          <w:color w:val="auto"/>
          <w:sz w:val="20"/>
          <w:szCs w:val="20"/>
          <w:lang w:val="es-ES"/>
        </w:rPr>
        <w:t>“</w:t>
      </w:r>
      <w:r w:rsidRPr="005D097A">
        <w:rPr>
          <w:rFonts w:ascii="Maax" w:hAnsi="Maax"/>
          <w:color w:val="auto"/>
          <w:sz w:val="20"/>
          <w:szCs w:val="20"/>
          <w:lang w:val="es-ES"/>
        </w:rPr>
        <w:t>Entrelazamientos: Fiesta de verano para Amigos</w:t>
      </w:r>
      <w:r w:rsidR="00A84144">
        <w:rPr>
          <w:rFonts w:ascii="Maax" w:hAnsi="Maax"/>
          <w:color w:val="auto"/>
          <w:sz w:val="20"/>
          <w:szCs w:val="20"/>
          <w:lang w:val="es-ES"/>
        </w:rPr>
        <w:t>”</w:t>
      </w:r>
      <w:r w:rsidRPr="005D097A">
        <w:rPr>
          <w:rFonts w:ascii="Maax" w:hAnsi="Maax"/>
          <w:color w:val="auto"/>
          <w:sz w:val="20"/>
          <w:szCs w:val="20"/>
          <w:lang w:val="es-ES"/>
        </w:rPr>
        <w:t>, una apertura extraordinaria de la exposición</w:t>
      </w:r>
      <w:r w:rsidR="00323C4A">
        <w:rPr>
          <w:rFonts w:ascii="Maax" w:hAnsi="Maax"/>
          <w:color w:val="auto"/>
          <w:sz w:val="20"/>
          <w:szCs w:val="20"/>
          <w:lang w:val="es-ES"/>
        </w:rPr>
        <w:t xml:space="preserve"> una vez finalizado el horario de apertura de la sala </w:t>
      </w:r>
      <w:r w:rsidRPr="005D097A">
        <w:rPr>
          <w:rFonts w:ascii="Maax" w:hAnsi="Maax"/>
          <w:color w:val="auto"/>
          <w:sz w:val="20"/>
          <w:szCs w:val="20"/>
          <w:lang w:val="es-ES"/>
        </w:rPr>
        <w:t>al público general.</w:t>
      </w:r>
    </w:p>
    <w:p w14:paraId="5B9C86B4" w14:textId="15A01480" w:rsidR="0039748E" w:rsidRPr="005D097A" w:rsidRDefault="005D097A" w:rsidP="00ED5446">
      <w:pPr>
        <w:pStyle w:val="Body"/>
        <w:spacing w:line="360" w:lineRule="auto"/>
        <w:jc w:val="both"/>
        <w:rPr>
          <w:rFonts w:ascii="Maax" w:hAnsi="Maax"/>
          <w:color w:val="auto"/>
          <w:sz w:val="20"/>
          <w:szCs w:val="20"/>
          <w:lang w:val="es-ES"/>
        </w:rPr>
      </w:pPr>
      <w:r w:rsidRPr="005D097A">
        <w:rPr>
          <w:rFonts w:ascii="Maax" w:hAnsi="Maax"/>
          <w:color w:val="auto"/>
          <w:sz w:val="20"/>
          <w:szCs w:val="20"/>
          <w:lang w:val="es-ES"/>
        </w:rPr>
        <w:t xml:space="preserve">Como cierre de este programa, </w:t>
      </w:r>
      <w:r w:rsidRPr="005D097A">
        <w:rPr>
          <w:rFonts w:ascii="Maax" w:hAnsi="Maax"/>
          <w:color w:val="auto"/>
          <w:sz w:val="20"/>
          <w:szCs w:val="20"/>
          <w:u w:val="single"/>
          <w:lang w:val="es-ES"/>
        </w:rPr>
        <w:t xml:space="preserve">el próximo 4 de septiembre, a las 19:00 horas, tendrá lugar una última </w:t>
      </w:r>
      <w:r w:rsidR="008B0618">
        <w:rPr>
          <w:rFonts w:ascii="Maax" w:hAnsi="Maax"/>
          <w:color w:val="auto"/>
          <w:sz w:val="20"/>
          <w:szCs w:val="20"/>
          <w:u w:val="single"/>
          <w:lang w:val="es-ES"/>
        </w:rPr>
        <w:t>sesión</w:t>
      </w:r>
      <w:r w:rsidR="008B0618" w:rsidRPr="005D097A">
        <w:rPr>
          <w:rFonts w:ascii="Maax" w:hAnsi="Maax"/>
          <w:color w:val="auto"/>
          <w:sz w:val="20"/>
          <w:szCs w:val="20"/>
          <w:u w:val="single"/>
          <w:lang w:val="es-ES"/>
        </w:rPr>
        <w:t xml:space="preserve"> </w:t>
      </w:r>
      <w:r w:rsidRPr="005D097A">
        <w:rPr>
          <w:rFonts w:ascii="Maax" w:hAnsi="Maax"/>
          <w:color w:val="auto"/>
          <w:sz w:val="20"/>
          <w:szCs w:val="20"/>
          <w:u w:val="single"/>
          <w:lang w:val="es-ES"/>
        </w:rPr>
        <w:t xml:space="preserve">de la visita experiencia </w:t>
      </w:r>
      <w:r w:rsidRPr="00E43260">
        <w:rPr>
          <w:rFonts w:ascii="Maax" w:hAnsi="Maax"/>
          <w:b/>
          <w:bCs/>
          <w:color w:val="auto"/>
          <w:sz w:val="20"/>
          <w:szCs w:val="20"/>
          <w:u w:val="single"/>
          <w:lang w:val="es-ES"/>
        </w:rPr>
        <w:t>“Energía en movimiento”</w:t>
      </w:r>
      <w:r w:rsidRPr="005D097A">
        <w:rPr>
          <w:rFonts w:ascii="Maax" w:hAnsi="Maax"/>
          <w:color w:val="auto"/>
          <w:sz w:val="20"/>
          <w:szCs w:val="20"/>
          <w:u w:val="single"/>
          <w:lang w:val="es-ES"/>
        </w:rPr>
        <w:t>.</w:t>
      </w:r>
      <w:r w:rsidRPr="005D097A">
        <w:rPr>
          <w:rFonts w:ascii="Maax" w:hAnsi="Maax"/>
          <w:color w:val="auto"/>
          <w:sz w:val="20"/>
          <w:szCs w:val="20"/>
          <w:lang w:val="es-ES"/>
        </w:rPr>
        <w:t xml:space="preserve"> De la mano del bailarín cántabro de origen guineano Juan Manuel Rondo Epitie, </w:t>
      </w:r>
      <w:r w:rsidR="00EE06D6">
        <w:rPr>
          <w:rFonts w:ascii="Maax" w:hAnsi="Maax"/>
          <w:color w:val="auto"/>
          <w:sz w:val="20"/>
          <w:szCs w:val="20"/>
          <w:lang w:val="es-ES"/>
        </w:rPr>
        <w:t xml:space="preserve">conocido como </w:t>
      </w:r>
      <w:r w:rsidRPr="005D097A">
        <w:rPr>
          <w:rFonts w:ascii="Maax" w:hAnsi="Maax"/>
          <w:color w:val="auto"/>
          <w:sz w:val="20"/>
          <w:szCs w:val="20"/>
          <w:lang w:val="es-ES"/>
        </w:rPr>
        <w:t>Ronin, los participantes podrán recorrer las instalaciones a través del cuerpo y el movimiento y descubrir de otra manera los sistemas, conexiones y fenómenos cotidianos que inspiran la obra de Mohri.</w:t>
      </w:r>
      <w:r w:rsidR="00A84144">
        <w:rPr>
          <w:rFonts w:ascii="Maax" w:hAnsi="Maax"/>
          <w:color w:val="auto"/>
          <w:sz w:val="20"/>
          <w:szCs w:val="20"/>
          <w:lang w:val="es-ES"/>
        </w:rPr>
        <w:t xml:space="preserve"> </w:t>
      </w:r>
    </w:p>
    <w:p w14:paraId="1433369A" w14:textId="5E112F77" w:rsidR="004007A2" w:rsidRPr="005D097A" w:rsidRDefault="005D097A" w:rsidP="00ED5446">
      <w:pPr>
        <w:pStyle w:val="Body"/>
        <w:spacing w:line="360" w:lineRule="auto"/>
        <w:jc w:val="both"/>
        <w:rPr>
          <w:rFonts w:ascii="Maax" w:hAnsi="Maax"/>
          <w:b/>
          <w:bCs/>
          <w:color w:val="auto"/>
          <w:sz w:val="20"/>
          <w:szCs w:val="20"/>
          <w:u w:val="single"/>
          <w:lang w:val="es-ES"/>
        </w:rPr>
      </w:pPr>
      <w:r w:rsidRPr="005D097A">
        <w:rPr>
          <w:rFonts w:ascii="Maax" w:hAnsi="Maax"/>
          <w:b/>
          <w:bCs/>
          <w:color w:val="auto"/>
          <w:sz w:val="20"/>
          <w:szCs w:val="20"/>
          <w:u w:val="single"/>
          <w:lang w:val="es-ES"/>
        </w:rPr>
        <w:t>El programa expositivo continúa con Solange Pessoa</w:t>
      </w:r>
    </w:p>
    <w:p w14:paraId="62FAA0EC" w14:textId="2A91E2C7" w:rsidR="004007A2" w:rsidRPr="005D097A" w:rsidRDefault="005D097A" w:rsidP="00ED5446">
      <w:pPr>
        <w:pStyle w:val="Body"/>
        <w:spacing w:line="360" w:lineRule="auto"/>
        <w:jc w:val="both"/>
        <w:rPr>
          <w:rFonts w:ascii="Maax" w:hAnsi="Maax"/>
          <w:color w:val="auto"/>
          <w:sz w:val="20"/>
          <w:szCs w:val="20"/>
          <w:lang w:val="es-ES"/>
        </w:rPr>
      </w:pPr>
      <w:r w:rsidRPr="005D097A">
        <w:rPr>
          <w:rFonts w:ascii="Maax" w:hAnsi="Maax"/>
          <w:color w:val="auto"/>
          <w:sz w:val="20"/>
          <w:szCs w:val="20"/>
          <w:lang w:val="es-ES"/>
        </w:rPr>
        <w:t>El próximo 10 de octubre abrirá sus puertas al público</w:t>
      </w:r>
      <w:r w:rsidR="008B0618">
        <w:rPr>
          <w:rFonts w:ascii="Maax" w:hAnsi="Maax"/>
          <w:color w:val="auto"/>
          <w:sz w:val="20"/>
          <w:szCs w:val="20"/>
          <w:lang w:val="es-ES"/>
        </w:rPr>
        <w:t xml:space="preserve"> en la sala expositiva de la segunda planta</w:t>
      </w:r>
      <w:r w:rsidRPr="005D097A">
        <w:rPr>
          <w:rFonts w:ascii="Maax" w:hAnsi="Maax"/>
          <w:color w:val="auto"/>
          <w:sz w:val="20"/>
          <w:szCs w:val="20"/>
          <w:lang w:val="es-ES"/>
        </w:rPr>
        <w:t xml:space="preserve"> </w:t>
      </w:r>
      <w:r w:rsidRPr="005D097A">
        <w:rPr>
          <w:rFonts w:ascii="Maax" w:hAnsi="Maax"/>
          <w:i/>
          <w:iCs/>
          <w:color w:val="auto"/>
          <w:sz w:val="20"/>
          <w:szCs w:val="20"/>
          <w:lang w:val="es-ES"/>
        </w:rPr>
        <w:t>Del día o de la noche</w:t>
      </w:r>
      <w:r w:rsidRPr="005D097A">
        <w:rPr>
          <w:rFonts w:ascii="Maax" w:hAnsi="Maax"/>
          <w:color w:val="auto"/>
          <w:sz w:val="20"/>
          <w:szCs w:val="20"/>
          <w:lang w:val="es-ES"/>
        </w:rPr>
        <w:t xml:space="preserve">, la primera exposición en España de Solange Pessoa (Ferros, Brasil, 1961), que podrá visitarse </w:t>
      </w:r>
      <w:r w:rsidRPr="005D097A">
        <w:rPr>
          <w:rFonts w:ascii="Maax" w:hAnsi="Maax"/>
          <w:color w:val="auto"/>
          <w:sz w:val="20"/>
          <w:szCs w:val="20"/>
          <w:lang w:val="es-ES"/>
        </w:rPr>
        <w:lastRenderedPageBreak/>
        <w:t>hasta el 28 de marzo de 2027.</w:t>
      </w:r>
      <w:r w:rsidR="00A84144">
        <w:rPr>
          <w:rFonts w:ascii="Maax" w:hAnsi="Maax"/>
          <w:color w:val="auto"/>
          <w:sz w:val="20"/>
          <w:szCs w:val="20"/>
          <w:lang w:val="es-ES"/>
        </w:rPr>
        <w:t xml:space="preserve"> </w:t>
      </w:r>
      <w:r w:rsidRPr="005D097A">
        <w:rPr>
          <w:rFonts w:ascii="Maax" w:hAnsi="Maax"/>
          <w:color w:val="auto"/>
          <w:sz w:val="20"/>
          <w:szCs w:val="20"/>
          <w:lang w:val="es-ES"/>
        </w:rPr>
        <w:t>Comisariada por Bárbara Rodríguez Muñoz, directora de Exposiciones y de la Colección del Centro Botín, la muestra recorrerá más de tres décadas de la trayectoria de la artista brasileña, poniendo en relación sus investigaciones y trabajos tempranos de los años 90 con desarrollos más recientes. La exposición reunirá obras procedentes del estudio de la artista y de colecciones institucionales y privadas, además de dos nuevas instalaciones producidas específicamente para la arquitectura y el entorno del Centro Botín.</w:t>
      </w:r>
    </w:p>
    <w:p w14:paraId="2C48B7DD" w14:textId="258C28C0" w:rsidR="00A80C2D" w:rsidRDefault="00A80C2D" w:rsidP="00C10201">
      <w:pPr>
        <w:pStyle w:val="NormalWeb"/>
        <w:spacing w:before="0" w:after="0" w:line="312" w:lineRule="auto"/>
        <w:jc w:val="center"/>
        <w:rPr>
          <w:rFonts w:ascii="Maax" w:hAnsi="Maax"/>
          <w:sz w:val="20"/>
          <w:szCs w:val="20"/>
          <w:shd w:val="clear" w:color="auto" w:fill="FFFFFF"/>
        </w:rPr>
      </w:pPr>
      <w:r>
        <w:rPr>
          <w:rFonts w:ascii="Maax" w:hAnsi="Maax"/>
          <w:sz w:val="20"/>
          <w:szCs w:val="20"/>
          <w:shd w:val="clear" w:color="auto" w:fill="FFFFFF"/>
        </w:rPr>
        <w:t>………………………</w:t>
      </w:r>
    </w:p>
    <w:p w14:paraId="730990DF" w14:textId="77777777" w:rsidR="00A80C2D" w:rsidRPr="00A80C2D" w:rsidRDefault="00A80C2D" w:rsidP="00A80C2D">
      <w:pPr>
        <w:pStyle w:val="NormalWeb"/>
        <w:spacing w:after="0" w:line="312" w:lineRule="auto"/>
        <w:jc w:val="both"/>
        <w:rPr>
          <w:rFonts w:ascii="Maax" w:hAnsi="Maax" w:cstheme="minorHAnsi"/>
          <w:b/>
          <w:bCs/>
          <w:i/>
          <w:iCs/>
          <w:sz w:val="16"/>
          <w:szCs w:val="16"/>
          <w:lang w:val="es-ES"/>
        </w:rPr>
      </w:pPr>
      <w:r w:rsidRPr="00A80C2D">
        <w:rPr>
          <w:rFonts w:ascii="Maax" w:hAnsi="Maax" w:cstheme="minorHAnsi"/>
          <w:b/>
          <w:bCs/>
          <w:i/>
          <w:iCs/>
          <w:sz w:val="16"/>
          <w:szCs w:val="16"/>
          <w:lang w:val="es-ES"/>
        </w:rPr>
        <w:t>Centro Botín</w:t>
      </w:r>
    </w:p>
    <w:p w14:paraId="5107AC74" w14:textId="4B3CE782" w:rsidR="00A80C2D" w:rsidRPr="00A80C2D" w:rsidRDefault="00A80C2D" w:rsidP="00A80C2D">
      <w:pPr>
        <w:pStyle w:val="NormalWeb"/>
        <w:spacing w:after="0" w:line="312" w:lineRule="auto"/>
        <w:jc w:val="both"/>
        <w:rPr>
          <w:rFonts w:ascii="Maax" w:hAnsi="Maax" w:cstheme="minorHAnsi"/>
          <w:i/>
          <w:iCs/>
          <w:sz w:val="16"/>
          <w:szCs w:val="16"/>
          <w:lang w:val="es-ES"/>
        </w:rPr>
      </w:pPr>
      <w:r w:rsidRPr="00A80C2D">
        <w:rPr>
          <w:rFonts w:ascii="Maax" w:hAnsi="Maax" w:cstheme="minorHAnsi"/>
          <w:i/>
          <w:iCs/>
          <w:sz w:val="16"/>
          <w:szCs w:val="16"/>
          <w:lang w:val="es-ES"/>
        </w:rPr>
        <w:t xml:space="preserve">El Centro Botín, obra del arquitecto Renzo Piano, es el proyecto más importante de la Fundación Botín. Un centro de arte internacional que aporta una mirada nueva al mundo del arte, cuya misión social es potenciar la creatividad de todos sus visitantes a través de las artes para generar desarrollo humano: económico, social y cultural. Cuenta con un ambicioso programa expositivo compuesto por presentaciones, tanto individuales como colectivas, de artistas internacionales y becarios de la Fundación Botín. Su programa formativo, que se sustenta sobre la investigación desarrollada desde hace más de 12 años junto al Centro de Inteligencia Emocional de la Universidad de Yale, está compuesto por actividades artísticas y culturales que despiertan la curiosidad, imaginación y creatividad de todos los públicos, animándolos al juego y al aprendizaje a través de las artes. Además, el Centro Botín es parte de la vida diaria de los ciudadanos y contribuye a fortalecer el tejido social y cultural local. Un lugar de encuentro que con arte, música, cine, teatro, literatura y danza dinamiza la vida de la ciudad. </w:t>
      </w:r>
    </w:p>
    <w:p w14:paraId="26CF4371" w14:textId="77777777" w:rsidR="00A80C2D" w:rsidRDefault="00A80C2D" w:rsidP="00A80C2D">
      <w:pPr>
        <w:numPr>
          <w:ilvl w:val="1"/>
          <w:numId w:val="0"/>
        </w:numPr>
        <w:jc w:val="right"/>
        <w:rPr>
          <w:rFonts w:eastAsia="Times New Roman"/>
          <w:b/>
          <w:sz w:val="20"/>
          <w:szCs w:val="20"/>
          <w:u w:val="single"/>
          <w:lang w:val="es-ES"/>
        </w:rPr>
      </w:pPr>
    </w:p>
    <w:p w14:paraId="4BC1F2F7" w14:textId="77777777" w:rsidR="0009655B" w:rsidRDefault="0009655B" w:rsidP="00A80C2D">
      <w:pPr>
        <w:numPr>
          <w:ilvl w:val="1"/>
          <w:numId w:val="0"/>
        </w:numPr>
        <w:jc w:val="right"/>
        <w:rPr>
          <w:rFonts w:ascii="Maax" w:eastAsia="Times New Roman" w:hAnsi="Maax"/>
          <w:b/>
          <w:sz w:val="20"/>
          <w:szCs w:val="20"/>
          <w:u w:val="single"/>
          <w:lang w:val="es-ES"/>
        </w:rPr>
      </w:pPr>
    </w:p>
    <w:p w14:paraId="7554AA3F" w14:textId="2994C7CE" w:rsidR="00A80C2D" w:rsidRPr="00A80C2D" w:rsidRDefault="00A80C2D" w:rsidP="00A80C2D">
      <w:pPr>
        <w:numPr>
          <w:ilvl w:val="1"/>
          <w:numId w:val="0"/>
        </w:numPr>
        <w:jc w:val="right"/>
        <w:rPr>
          <w:rFonts w:ascii="Maax" w:eastAsia="Times New Roman" w:hAnsi="Maax"/>
          <w:b/>
          <w:sz w:val="20"/>
          <w:szCs w:val="20"/>
          <w:u w:val="single"/>
          <w:lang w:val="es-ES"/>
        </w:rPr>
      </w:pPr>
      <w:r w:rsidRPr="00A80C2D">
        <w:rPr>
          <w:rFonts w:ascii="Maax" w:eastAsia="Times New Roman" w:hAnsi="Maax"/>
          <w:b/>
          <w:sz w:val="20"/>
          <w:szCs w:val="20"/>
          <w:u w:val="single"/>
          <w:lang w:val="es-ES"/>
        </w:rPr>
        <w:t xml:space="preserve">Para más información: </w:t>
      </w:r>
    </w:p>
    <w:p w14:paraId="372E5C39" w14:textId="77777777" w:rsidR="00003E5E" w:rsidRDefault="00A80C2D" w:rsidP="00A80C2D">
      <w:pPr>
        <w:jc w:val="right"/>
        <w:rPr>
          <w:rFonts w:ascii="Maax" w:eastAsia="Times New Roman" w:hAnsi="Maax"/>
          <w:b/>
          <w:sz w:val="20"/>
          <w:szCs w:val="20"/>
          <w:lang w:val="es-ES"/>
        </w:rPr>
      </w:pPr>
      <w:r w:rsidRPr="00A80C2D">
        <w:rPr>
          <w:rFonts w:ascii="Maax" w:eastAsia="Times New Roman" w:hAnsi="Maax"/>
          <w:b/>
          <w:sz w:val="20"/>
          <w:szCs w:val="20"/>
          <w:lang w:val="es-ES"/>
        </w:rPr>
        <w:t>Fundación Botín</w:t>
      </w:r>
    </w:p>
    <w:p w14:paraId="6FED8DC5" w14:textId="31C04468" w:rsidR="003F5C92" w:rsidRDefault="00A80C2D" w:rsidP="00A80C2D">
      <w:pPr>
        <w:jc w:val="right"/>
        <w:rPr>
          <w:rFonts w:ascii="Maax" w:eastAsia="Times New Roman" w:hAnsi="Maax"/>
          <w:sz w:val="20"/>
          <w:szCs w:val="20"/>
          <w:lang w:val="es-ES"/>
        </w:rPr>
      </w:pPr>
      <w:r w:rsidRPr="00A80C2D">
        <w:rPr>
          <w:rFonts w:ascii="Maax" w:eastAsia="Times New Roman" w:hAnsi="Maax"/>
          <w:sz w:val="20"/>
          <w:szCs w:val="20"/>
          <w:lang w:val="es-ES"/>
        </w:rPr>
        <w:t>María Cagigas</w:t>
      </w:r>
    </w:p>
    <w:p w14:paraId="6A47A600" w14:textId="45AB4582" w:rsidR="00C10201" w:rsidRDefault="00C10201" w:rsidP="00A80C2D">
      <w:pPr>
        <w:jc w:val="right"/>
        <w:rPr>
          <w:rFonts w:ascii="Maax" w:eastAsia="Times New Roman" w:hAnsi="Maax"/>
          <w:color w:val="0000FF"/>
          <w:sz w:val="20"/>
          <w:szCs w:val="20"/>
          <w:lang w:val="es-ES"/>
        </w:rPr>
      </w:pPr>
      <w:hyperlink r:id="rId11" w:history="1">
        <w:r w:rsidRPr="00D43F00">
          <w:rPr>
            <w:rStyle w:val="Hipervnculo"/>
            <w:rFonts w:ascii="Maax" w:eastAsia="Times New Roman" w:hAnsi="Maax"/>
            <w:sz w:val="20"/>
            <w:szCs w:val="20"/>
            <w:lang w:val="es-ES"/>
          </w:rPr>
          <w:t>mcagigas@fundacionbotin.org</w:t>
        </w:r>
      </w:hyperlink>
      <w:r>
        <w:rPr>
          <w:rFonts w:ascii="Maax" w:eastAsia="Times New Roman" w:hAnsi="Maax"/>
          <w:sz w:val="20"/>
          <w:szCs w:val="20"/>
          <w:lang w:val="es-ES"/>
        </w:rPr>
        <w:t xml:space="preserve"> </w:t>
      </w:r>
    </w:p>
    <w:p w14:paraId="4C141E1C" w14:textId="46E374E4" w:rsidR="00A80C2D" w:rsidRPr="00A80C2D" w:rsidRDefault="003F5C92" w:rsidP="00A80C2D">
      <w:pPr>
        <w:jc w:val="right"/>
        <w:rPr>
          <w:rFonts w:ascii="Maax" w:eastAsia="Times New Roman" w:hAnsi="Maax"/>
          <w:sz w:val="20"/>
          <w:szCs w:val="20"/>
          <w:lang w:val="es-ES"/>
        </w:rPr>
      </w:pPr>
      <w:r>
        <w:rPr>
          <w:rFonts w:ascii="Maax" w:eastAsia="Times New Roman" w:hAnsi="Maax"/>
          <w:sz w:val="20"/>
          <w:szCs w:val="20"/>
          <w:lang w:val="es-ES"/>
        </w:rPr>
        <w:t>T</w:t>
      </w:r>
      <w:r w:rsidR="00A80C2D" w:rsidRPr="00A80C2D">
        <w:rPr>
          <w:rFonts w:ascii="Maax" w:eastAsia="Times New Roman" w:hAnsi="Maax"/>
          <w:sz w:val="20"/>
          <w:szCs w:val="20"/>
          <w:lang w:val="es-ES"/>
        </w:rPr>
        <w:t>el.: 942 226 072</w:t>
      </w:r>
    </w:p>
    <w:p w14:paraId="3AD3EF50" w14:textId="77777777" w:rsidR="00A80C2D" w:rsidRPr="00A80C2D" w:rsidRDefault="00A80C2D" w:rsidP="00A80C2D">
      <w:pPr>
        <w:jc w:val="right"/>
        <w:rPr>
          <w:rFonts w:ascii="Maax" w:eastAsia="Times New Roman" w:hAnsi="Maax"/>
          <w:b/>
          <w:bCs/>
          <w:sz w:val="20"/>
          <w:szCs w:val="20"/>
          <w:lang w:val="es-ES"/>
        </w:rPr>
      </w:pPr>
    </w:p>
    <w:p w14:paraId="7BD10050" w14:textId="77777777" w:rsidR="0082653D" w:rsidRPr="0082653D" w:rsidRDefault="0082653D" w:rsidP="0082653D">
      <w:pPr>
        <w:jc w:val="right"/>
        <w:rPr>
          <w:rFonts w:ascii="Maax" w:hAnsi="Maax" w:cstheme="minorHAnsi"/>
          <w:b/>
          <w:bCs/>
          <w:sz w:val="20"/>
          <w:szCs w:val="20"/>
          <w:lang w:val="pt-PT"/>
        </w:rPr>
      </w:pPr>
      <w:r w:rsidRPr="0082653D">
        <w:rPr>
          <w:rFonts w:ascii="Maax" w:hAnsi="Maax" w:cstheme="minorHAnsi"/>
          <w:b/>
          <w:bCs/>
          <w:sz w:val="20"/>
          <w:szCs w:val="20"/>
          <w:lang w:val="pt-PT"/>
        </w:rPr>
        <w:t>Trescom</w:t>
      </w:r>
    </w:p>
    <w:p w14:paraId="1C05F27B" w14:textId="77777777" w:rsidR="0082653D" w:rsidRPr="0082653D" w:rsidRDefault="0082653D" w:rsidP="0082653D">
      <w:pPr>
        <w:jc w:val="right"/>
        <w:rPr>
          <w:rFonts w:ascii="Maax" w:hAnsi="Maax" w:cstheme="minorHAnsi"/>
          <w:sz w:val="20"/>
          <w:szCs w:val="20"/>
          <w:lang w:val="pt-PT"/>
        </w:rPr>
      </w:pPr>
      <w:bookmarkStart w:id="0" w:name="_Hlk211849587"/>
      <w:r w:rsidRPr="0082653D">
        <w:rPr>
          <w:rFonts w:ascii="Maax" w:hAnsi="Maax" w:cstheme="minorHAnsi"/>
          <w:sz w:val="20"/>
          <w:szCs w:val="20"/>
          <w:lang w:val="pt-PT"/>
        </w:rPr>
        <w:t xml:space="preserve">Alba Tortosa </w:t>
      </w:r>
      <w:bookmarkEnd w:id="0"/>
      <w:r w:rsidRPr="0082653D">
        <w:rPr>
          <w:rFonts w:ascii="Maax" w:hAnsi="Maax" w:cstheme="minorHAnsi"/>
          <w:sz w:val="20"/>
          <w:szCs w:val="20"/>
          <w:lang w:val="pt-PT"/>
        </w:rPr>
        <w:t>/ Marina González</w:t>
      </w:r>
    </w:p>
    <w:bookmarkStart w:id="1" w:name="_Hlk211849572"/>
    <w:p w14:paraId="2B34099D" w14:textId="34F8C58A" w:rsidR="0082653D" w:rsidRPr="0082653D" w:rsidRDefault="00C10201" w:rsidP="0082653D">
      <w:pPr>
        <w:jc w:val="right"/>
        <w:rPr>
          <w:rFonts w:ascii="Maax" w:hAnsi="Maax" w:cstheme="minorHAnsi"/>
          <w:sz w:val="20"/>
          <w:szCs w:val="20"/>
          <w:lang w:val="pt-PT"/>
        </w:rPr>
      </w:pPr>
      <w:r>
        <w:rPr>
          <w:rFonts w:ascii="Maax" w:hAnsi="Maax" w:cstheme="minorHAnsi"/>
          <w:sz w:val="20"/>
          <w:szCs w:val="20"/>
          <w:lang w:val="pt-PT"/>
        </w:rPr>
        <w:fldChar w:fldCharType="begin"/>
      </w:r>
      <w:r>
        <w:rPr>
          <w:rFonts w:ascii="Maax" w:hAnsi="Maax" w:cstheme="minorHAnsi"/>
          <w:sz w:val="20"/>
          <w:szCs w:val="20"/>
          <w:lang w:val="pt-PT"/>
        </w:rPr>
        <w:instrText>HYPERLINK "mailto:</w:instrText>
      </w:r>
      <w:r w:rsidRPr="00C10201">
        <w:rPr>
          <w:rFonts w:ascii="Maax" w:hAnsi="Maax" w:cstheme="minorHAnsi"/>
          <w:sz w:val="20"/>
          <w:szCs w:val="20"/>
          <w:lang w:val="pt-PT"/>
        </w:rPr>
        <w:instrText>alba.tortosa@trescom.es</w:instrText>
      </w:r>
      <w:r>
        <w:rPr>
          <w:rFonts w:ascii="Maax" w:hAnsi="Maax" w:cstheme="minorHAnsi"/>
          <w:sz w:val="20"/>
          <w:szCs w:val="20"/>
          <w:lang w:val="pt-PT"/>
        </w:rPr>
        <w:instrText>"</w:instrText>
      </w:r>
      <w:r>
        <w:rPr>
          <w:rFonts w:ascii="Maax" w:hAnsi="Maax" w:cstheme="minorHAnsi"/>
          <w:sz w:val="20"/>
          <w:szCs w:val="20"/>
          <w:lang w:val="pt-PT"/>
        </w:rPr>
      </w:r>
      <w:r>
        <w:rPr>
          <w:rFonts w:ascii="Maax" w:hAnsi="Maax" w:cstheme="minorHAnsi"/>
          <w:sz w:val="20"/>
          <w:szCs w:val="20"/>
          <w:lang w:val="pt-PT"/>
        </w:rPr>
        <w:fldChar w:fldCharType="separate"/>
      </w:r>
      <w:r w:rsidRPr="00D43F00">
        <w:rPr>
          <w:rStyle w:val="Hipervnculo"/>
          <w:rFonts w:ascii="Maax" w:hAnsi="Maax" w:cstheme="minorHAnsi"/>
          <w:sz w:val="20"/>
          <w:szCs w:val="20"/>
          <w:lang w:val="pt-PT"/>
        </w:rPr>
        <w:t>alba.tortosa@trescom.es</w:t>
      </w:r>
      <w:r>
        <w:rPr>
          <w:rFonts w:ascii="Maax" w:hAnsi="Maax" w:cstheme="minorHAnsi"/>
          <w:sz w:val="20"/>
          <w:szCs w:val="20"/>
          <w:lang w:val="pt-PT"/>
        </w:rPr>
        <w:fldChar w:fldCharType="end"/>
      </w:r>
      <w:r w:rsidR="0082653D" w:rsidRPr="0082653D">
        <w:rPr>
          <w:rFonts w:ascii="Maax" w:hAnsi="Maax" w:cstheme="minorHAnsi"/>
          <w:sz w:val="20"/>
          <w:szCs w:val="20"/>
          <w:lang w:val="pt-PT"/>
        </w:rPr>
        <w:t xml:space="preserve"> / </w:t>
      </w:r>
      <w:bookmarkEnd w:id="1"/>
      <w:r w:rsidR="0082653D" w:rsidRPr="0082653D">
        <w:rPr>
          <w:rFonts w:ascii="Maax" w:hAnsi="Maax" w:cstheme="minorHAnsi"/>
          <w:sz w:val="20"/>
          <w:szCs w:val="20"/>
          <w:lang w:val="pt-PT"/>
        </w:rPr>
        <w:fldChar w:fldCharType="begin"/>
      </w:r>
      <w:r w:rsidR="0082653D" w:rsidRPr="0082653D">
        <w:rPr>
          <w:rFonts w:ascii="Maax" w:hAnsi="Maax" w:cstheme="minorHAnsi"/>
          <w:sz w:val="20"/>
          <w:szCs w:val="20"/>
          <w:lang w:val="pt-PT"/>
        </w:rPr>
        <w:instrText>HYPERLINK "mailto:marina.gonzalez@trescom.es"</w:instrText>
      </w:r>
      <w:r w:rsidR="0082653D" w:rsidRPr="0082653D">
        <w:rPr>
          <w:rFonts w:ascii="Maax" w:hAnsi="Maax" w:cstheme="minorHAnsi"/>
          <w:sz w:val="20"/>
          <w:szCs w:val="20"/>
          <w:lang w:val="pt-PT"/>
        </w:rPr>
      </w:r>
      <w:r w:rsidR="0082653D" w:rsidRPr="0082653D">
        <w:rPr>
          <w:rFonts w:ascii="Maax" w:hAnsi="Maax" w:cstheme="minorHAnsi"/>
          <w:sz w:val="20"/>
          <w:szCs w:val="20"/>
          <w:lang w:val="pt-PT"/>
        </w:rPr>
        <w:fldChar w:fldCharType="separate"/>
      </w:r>
      <w:r w:rsidR="0082653D" w:rsidRPr="0082653D">
        <w:rPr>
          <w:rStyle w:val="Hipervnculo"/>
          <w:rFonts w:ascii="Maax" w:hAnsi="Maax" w:cstheme="minorHAnsi"/>
          <w:sz w:val="20"/>
          <w:szCs w:val="20"/>
          <w:lang w:val="pt-PT"/>
        </w:rPr>
        <w:t>marina.gonzalez@trescom.es</w:t>
      </w:r>
      <w:r w:rsidR="0082653D" w:rsidRPr="0082653D">
        <w:rPr>
          <w:rFonts w:ascii="Maax" w:hAnsi="Maax" w:cstheme="minorHAnsi"/>
          <w:sz w:val="20"/>
          <w:szCs w:val="20"/>
          <w:lang w:val="es-ES"/>
        </w:rPr>
        <w:fldChar w:fldCharType="end"/>
      </w:r>
    </w:p>
    <w:p w14:paraId="066196F8" w14:textId="77777777" w:rsidR="0082653D" w:rsidRPr="0082653D" w:rsidRDefault="0082653D" w:rsidP="0082653D">
      <w:pPr>
        <w:jc w:val="right"/>
        <w:rPr>
          <w:rFonts w:ascii="Maax" w:hAnsi="Maax" w:cstheme="minorHAnsi"/>
          <w:b/>
          <w:bCs/>
          <w:sz w:val="20"/>
          <w:szCs w:val="20"/>
          <w:lang w:val="pt-PT"/>
        </w:rPr>
      </w:pPr>
    </w:p>
    <w:p w14:paraId="211BDD96" w14:textId="40D88032" w:rsidR="00A80C2D" w:rsidRPr="0082653D" w:rsidRDefault="00A80C2D" w:rsidP="00A80C2D">
      <w:pPr>
        <w:jc w:val="right"/>
        <w:rPr>
          <w:rFonts w:ascii="Maax" w:hAnsi="Maax" w:cstheme="minorHAnsi"/>
          <w:sz w:val="20"/>
          <w:szCs w:val="20"/>
          <w:lang w:val="pt-PT"/>
        </w:rPr>
      </w:pPr>
    </w:p>
    <w:sectPr w:rsidR="00A80C2D" w:rsidRPr="0082653D" w:rsidSect="000C2662">
      <w:headerReference w:type="default" r:id="rId12"/>
      <w:pgSz w:w="11900" w:h="16840"/>
      <w:pgMar w:top="2552" w:right="1701" w:bottom="993"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D720A" w14:textId="77777777" w:rsidR="00C86F96" w:rsidRDefault="00C86F96">
      <w:r>
        <w:separator/>
      </w:r>
    </w:p>
  </w:endnote>
  <w:endnote w:type="continuationSeparator" w:id="0">
    <w:p w14:paraId="7D66537A" w14:textId="77777777" w:rsidR="00C86F96" w:rsidRDefault="00C8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aax Medium">
    <w:altName w:val="Times New Roman"/>
    <w:panose1 w:val="00000000000000000000"/>
    <w:charset w:val="00"/>
    <w:family w:val="roman"/>
    <w:notTrueType/>
    <w:pitch w:val="default"/>
  </w:font>
  <w:font w:name="Maax">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857E" w14:textId="77777777" w:rsidR="00C86F96" w:rsidRDefault="00C86F96">
      <w:r>
        <w:separator/>
      </w:r>
    </w:p>
  </w:footnote>
  <w:footnote w:type="continuationSeparator" w:id="0">
    <w:p w14:paraId="7E43A82D" w14:textId="77777777" w:rsidR="00C86F96" w:rsidRDefault="00C86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B60F" w14:textId="741856E8" w:rsidR="00167101" w:rsidRDefault="00003784">
    <w:pPr>
      <w:pStyle w:val="HeaderFooter"/>
    </w:pPr>
    <w:r>
      <w:rPr>
        <w:rFonts w:ascii="Trade Gothic LT Std Bold" w:hAnsi="Trade Gothic LT Std Bold"/>
        <w:noProof/>
        <w:sz w:val="18"/>
        <w:lang w:val="es-ES" w:eastAsia="es-ES"/>
      </w:rPr>
      <w:drawing>
        <wp:anchor distT="0" distB="0" distL="114300" distR="114300" simplePos="0" relativeHeight="251661312" behindDoc="0" locked="0" layoutInCell="1" allowOverlap="1" wp14:anchorId="64CB0867" wp14:editId="7857977C">
          <wp:simplePos x="0" y="0"/>
          <wp:positionH relativeFrom="column">
            <wp:posOffset>-368300</wp:posOffset>
          </wp:positionH>
          <wp:positionV relativeFrom="paragraph">
            <wp:posOffset>-330835</wp:posOffset>
          </wp:positionV>
          <wp:extent cx="1323975" cy="1000125"/>
          <wp:effectExtent l="0" t="0" r="0" b="0"/>
          <wp:wrapSquare wrapText="bothSides"/>
          <wp:docPr id="1798749825" name="Imagen 179874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rFonts w:ascii="Verdana" w:hAnsi="Verdana"/>
        <w:noProof/>
        <w:sz w:val="36"/>
        <w:lang w:val="es-ES" w:eastAsia="es-ES"/>
      </w:rPr>
      <mc:AlternateContent>
        <mc:Choice Requires="wps">
          <w:drawing>
            <wp:anchor distT="0" distB="0" distL="114300" distR="114300" simplePos="0" relativeHeight="251659264" behindDoc="0" locked="0" layoutInCell="1" allowOverlap="1" wp14:anchorId="72DFE736" wp14:editId="04917835">
              <wp:simplePos x="0" y="0"/>
              <wp:positionH relativeFrom="page">
                <wp:posOffset>-285115</wp:posOffset>
              </wp:positionH>
              <wp:positionV relativeFrom="paragraph">
                <wp:posOffset>-451485</wp:posOffset>
              </wp:positionV>
              <wp:extent cx="7903210" cy="1247775"/>
              <wp:effectExtent l="0" t="0" r="2540" b="9525"/>
              <wp:wrapThrough wrapText="bothSides">
                <wp:wrapPolygon edited="0">
                  <wp:start x="0" y="0"/>
                  <wp:lineTo x="0" y="21765"/>
                  <wp:lineTo x="21607" y="21765"/>
                  <wp:lineTo x="21607" y="0"/>
                  <wp:lineTo x="0" y="0"/>
                </wp:wrapPolygon>
              </wp:wrapThrough>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247775"/>
                      </a:xfrm>
                      <a:prstGeom prst="rect">
                        <a:avLst/>
                      </a:prstGeom>
                      <a:solidFill>
                        <a:srgbClr val="0D0D0C"/>
                      </a:solidFill>
                      <a:ln w="0">
                        <a:solidFill>
                          <a:schemeClr val="accent1">
                            <a:lumMod val="95000"/>
                            <a:lumOff val="0"/>
                          </a:schemeClr>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5712E7" id="Rectángulo 2" o:spid="_x0000_s1026" style="position:absolute;margin-left:-22.45pt;margin-top:-35.55pt;width:622.3pt;height:9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" fillcolor="#0d0d0c" strokecolor="#145a7b [3044]" strokeweight="0">
              <w10:wrap type="through"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A0A"/>
    <w:multiLevelType w:val="hybridMultilevel"/>
    <w:tmpl w:val="9C446B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ACD5CBB"/>
    <w:multiLevelType w:val="hybridMultilevel"/>
    <w:tmpl w:val="8618B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F2E5419"/>
    <w:multiLevelType w:val="hybridMultilevel"/>
    <w:tmpl w:val="FAEA9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5E94086"/>
    <w:multiLevelType w:val="multilevel"/>
    <w:tmpl w:val="214EFFF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16cid:durableId="926033368">
    <w:abstractNumId w:val="3"/>
  </w:num>
  <w:num w:numId="2" w16cid:durableId="545027374">
    <w:abstractNumId w:val="1"/>
  </w:num>
  <w:num w:numId="3" w16cid:durableId="1214971925">
    <w:abstractNumId w:val="0"/>
  </w:num>
  <w:num w:numId="4" w16cid:durableId="1902213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01"/>
    <w:rsid w:val="00003784"/>
    <w:rsid w:val="00003E5E"/>
    <w:rsid w:val="00012C7F"/>
    <w:rsid w:val="00021A91"/>
    <w:rsid w:val="0002338D"/>
    <w:rsid w:val="000250AC"/>
    <w:rsid w:val="00030D1A"/>
    <w:rsid w:val="00031A41"/>
    <w:rsid w:val="0003662E"/>
    <w:rsid w:val="000411CF"/>
    <w:rsid w:val="000429FC"/>
    <w:rsid w:val="000507CA"/>
    <w:rsid w:val="00052936"/>
    <w:rsid w:val="00055D1A"/>
    <w:rsid w:val="000724CF"/>
    <w:rsid w:val="00083199"/>
    <w:rsid w:val="00083284"/>
    <w:rsid w:val="000935AC"/>
    <w:rsid w:val="00094760"/>
    <w:rsid w:val="00095802"/>
    <w:rsid w:val="00095EEF"/>
    <w:rsid w:val="0009655B"/>
    <w:rsid w:val="0009795D"/>
    <w:rsid w:val="000A26FF"/>
    <w:rsid w:val="000A7F5F"/>
    <w:rsid w:val="000B4E7A"/>
    <w:rsid w:val="000C106C"/>
    <w:rsid w:val="000C2662"/>
    <w:rsid w:val="000C6708"/>
    <w:rsid w:val="000D0D31"/>
    <w:rsid w:val="000D6469"/>
    <w:rsid w:val="000E2BF3"/>
    <w:rsid w:val="000F1D14"/>
    <w:rsid w:val="000F39E4"/>
    <w:rsid w:val="00123110"/>
    <w:rsid w:val="0013528E"/>
    <w:rsid w:val="00142252"/>
    <w:rsid w:val="0014573A"/>
    <w:rsid w:val="00147754"/>
    <w:rsid w:val="00150423"/>
    <w:rsid w:val="00150E64"/>
    <w:rsid w:val="00164B2D"/>
    <w:rsid w:val="00167101"/>
    <w:rsid w:val="00171E80"/>
    <w:rsid w:val="001762C6"/>
    <w:rsid w:val="00184DFC"/>
    <w:rsid w:val="00185957"/>
    <w:rsid w:val="001A0389"/>
    <w:rsid w:val="001A136C"/>
    <w:rsid w:val="001A608B"/>
    <w:rsid w:val="001A6E72"/>
    <w:rsid w:val="001B1D41"/>
    <w:rsid w:val="001B3100"/>
    <w:rsid w:val="001B4623"/>
    <w:rsid w:val="001B645B"/>
    <w:rsid w:val="001D34BA"/>
    <w:rsid w:val="001D577A"/>
    <w:rsid w:val="001E061C"/>
    <w:rsid w:val="001E7E6C"/>
    <w:rsid w:val="001F0CA8"/>
    <w:rsid w:val="001F27AA"/>
    <w:rsid w:val="001F49D0"/>
    <w:rsid w:val="00200401"/>
    <w:rsid w:val="00202892"/>
    <w:rsid w:val="00206A33"/>
    <w:rsid w:val="00231ABD"/>
    <w:rsid w:val="00233F9A"/>
    <w:rsid w:val="002350F2"/>
    <w:rsid w:val="00240B7F"/>
    <w:rsid w:val="002474A1"/>
    <w:rsid w:val="0024788C"/>
    <w:rsid w:val="00247966"/>
    <w:rsid w:val="00250664"/>
    <w:rsid w:val="00260AE3"/>
    <w:rsid w:val="00266A32"/>
    <w:rsid w:val="00271912"/>
    <w:rsid w:val="00272AEB"/>
    <w:rsid w:val="00275407"/>
    <w:rsid w:val="00275E82"/>
    <w:rsid w:val="00276983"/>
    <w:rsid w:val="0028056A"/>
    <w:rsid w:val="0029429F"/>
    <w:rsid w:val="002A2950"/>
    <w:rsid w:val="002A2DF3"/>
    <w:rsid w:val="002A61DB"/>
    <w:rsid w:val="002A6B81"/>
    <w:rsid w:val="002A7438"/>
    <w:rsid w:val="002B1B3F"/>
    <w:rsid w:val="002B4003"/>
    <w:rsid w:val="002C2807"/>
    <w:rsid w:val="002D4D0D"/>
    <w:rsid w:val="002D5D67"/>
    <w:rsid w:val="002E1297"/>
    <w:rsid w:val="002E6569"/>
    <w:rsid w:val="002E6747"/>
    <w:rsid w:val="002F5262"/>
    <w:rsid w:val="003037CA"/>
    <w:rsid w:val="00303C2B"/>
    <w:rsid w:val="00305ADC"/>
    <w:rsid w:val="00314AC2"/>
    <w:rsid w:val="003168DE"/>
    <w:rsid w:val="00320274"/>
    <w:rsid w:val="00323C4A"/>
    <w:rsid w:val="003255AD"/>
    <w:rsid w:val="0033285E"/>
    <w:rsid w:val="00336F41"/>
    <w:rsid w:val="0034044E"/>
    <w:rsid w:val="0034149B"/>
    <w:rsid w:val="00366930"/>
    <w:rsid w:val="003708F9"/>
    <w:rsid w:val="00371594"/>
    <w:rsid w:val="003750AE"/>
    <w:rsid w:val="0037663C"/>
    <w:rsid w:val="00377C36"/>
    <w:rsid w:val="003929C1"/>
    <w:rsid w:val="00394D18"/>
    <w:rsid w:val="0039748E"/>
    <w:rsid w:val="00397F6A"/>
    <w:rsid w:val="003A2ED8"/>
    <w:rsid w:val="003A45C1"/>
    <w:rsid w:val="003B0BB2"/>
    <w:rsid w:val="003B0C04"/>
    <w:rsid w:val="003B4E4E"/>
    <w:rsid w:val="003C0580"/>
    <w:rsid w:val="003C5654"/>
    <w:rsid w:val="003C58D0"/>
    <w:rsid w:val="003C7ABA"/>
    <w:rsid w:val="003D28B3"/>
    <w:rsid w:val="003D5770"/>
    <w:rsid w:val="003D7236"/>
    <w:rsid w:val="003D754F"/>
    <w:rsid w:val="003E0F52"/>
    <w:rsid w:val="003F062E"/>
    <w:rsid w:val="003F5C92"/>
    <w:rsid w:val="003F6601"/>
    <w:rsid w:val="004007A2"/>
    <w:rsid w:val="00403550"/>
    <w:rsid w:val="00410031"/>
    <w:rsid w:val="0041377B"/>
    <w:rsid w:val="00413C34"/>
    <w:rsid w:val="0041714E"/>
    <w:rsid w:val="0042260C"/>
    <w:rsid w:val="004264ED"/>
    <w:rsid w:val="00430AFE"/>
    <w:rsid w:val="0043169A"/>
    <w:rsid w:val="00433F87"/>
    <w:rsid w:val="00441993"/>
    <w:rsid w:val="004513AF"/>
    <w:rsid w:val="00451634"/>
    <w:rsid w:val="00455A85"/>
    <w:rsid w:val="004567CD"/>
    <w:rsid w:val="0046542E"/>
    <w:rsid w:val="00471491"/>
    <w:rsid w:val="00471826"/>
    <w:rsid w:val="00481A0E"/>
    <w:rsid w:val="0049610A"/>
    <w:rsid w:val="004A23D4"/>
    <w:rsid w:val="004A3444"/>
    <w:rsid w:val="004A649C"/>
    <w:rsid w:val="004A7ED2"/>
    <w:rsid w:val="004D17BF"/>
    <w:rsid w:val="004D2256"/>
    <w:rsid w:val="004D4D43"/>
    <w:rsid w:val="004D70FB"/>
    <w:rsid w:val="004E11D1"/>
    <w:rsid w:val="004E2D64"/>
    <w:rsid w:val="004E5B8F"/>
    <w:rsid w:val="004E6533"/>
    <w:rsid w:val="004F768D"/>
    <w:rsid w:val="004F79B6"/>
    <w:rsid w:val="00500032"/>
    <w:rsid w:val="00500A5D"/>
    <w:rsid w:val="005112CA"/>
    <w:rsid w:val="00514C98"/>
    <w:rsid w:val="00515B78"/>
    <w:rsid w:val="00540C5A"/>
    <w:rsid w:val="00545589"/>
    <w:rsid w:val="00555BFC"/>
    <w:rsid w:val="00563579"/>
    <w:rsid w:val="00564390"/>
    <w:rsid w:val="00566493"/>
    <w:rsid w:val="00571B33"/>
    <w:rsid w:val="00575B65"/>
    <w:rsid w:val="00582140"/>
    <w:rsid w:val="00587100"/>
    <w:rsid w:val="005909CB"/>
    <w:rsid w:val="0059442E"/>
    <w:rsid w:val="005A36A3"/>
    <w:rsid w:val="005B30BB"/>
    <w:rsid w:val="005B6D8D"/>
    <w:rsid w:val="005C0542"/>
    <w:rsid w:val="005C15AD"/>
    <w:rsid w:val="005C25D9"/>
    <w:rsid w:val="005C4C1C"/>
    <w:rsid w:val="005C6E34"/>
    <w:rsid w:val="005D097A"/>
    <w:rsid w:val="005D1580"/>
    <w:rsid w:val="005D43E6"/>
    <w:rsid w:val="005D5260"/>
    <w:rsid w:val="005D7EAD"/>
    <w:rsid w:val="005E38AB"/>
    <w:rsid w:val="005E63DC"/>
    <w:rsid w:val="005F0869"/>
    <w:rsid w:val="005F1289"/>
    <w:rsid w:val="005F14F7"/>
    <w:rsid w:val="005F38B4"/>
    <w:rsid w:val="005F4F22"/>
    <w:rsid w:val="00605C64"/>
    <w:rsid w:val="006155CA"/>
    <w:rsid w:val="0061612B"/>
    <w:rsid w:val="006211DA"/>
    <w:rsid w:val="006223D8"/>
    <w:rsid w:val="006319EE"/>
    <w:rsid w:val="0063216F"/>
    <w:rsid w:val="006361B6"/>
    <w:rsid w:val="00640ED8"/>
    <w:rsid w:val="00641355"/>
    <w:rsid w:val="00662393"/>
    <w:rsid w:val="00671653"/>
    <w:rsid w:val="00674ED4"/>
    <w:rsid w:val="00680B7D"/>
    <w:rsid w:val="0068223A"/>
    <w:rsid w:val="00684A4C"/>
    <w:rsid w:val="006A1D82"/>
    <w:rsid w:val="006B4E48"/>
    <w:rsid w:val="006B54F2"/>
    <w:rsid w:val="006B7035"/>
    <w:rsid w:val="006C063E"/>
    <w:rsid w:val="006C0E56"/>
    <w:rsid w:val="006C56AE"/>
    <w:rsid w:val="006C74AD"/>
    <w:rsid w:val="006D58FD"/>
    <w:rsid w:val="006E5B46"/>
    <w:rsid w:val="006E61C1"/>
    <w:rsid w:val="006F5C01"/>
    <w:rsid w:val="006F6F12"/>
    <w:rsid w:val="00700E72"/>
    <w:rsid w:val="007030EB"/>
    <w:rsid w:val="0070320C"/>
    <w:rsid w:val="00705493"/>
    <w:rsid w:val="007104A7"/>
    <w:rsid w:val="0072773A"/>
    <w:rsid w:val="007351A3"/>
    <w:rsid w:val="007356E2"/>
    <w:rsid w:val="00736B4C"/>
    <w:rsid w:val="00737D31"/>
    <w:rsid w:val="00743578"/>
    <w:rsid w:val="00743E56"/>
    <w:rsid w:val="00744B21"/>
    <w:rsid w:val="0075044C"/>
    <w:rsid w:val="00757599"/>
    <w:rsid w:val="00757EFF"/>
    <w:rsid w:val="00760CEA"/>
    <w:rsid w:val="00773DE3"/>
    <w:rsid w:val="00777EB4"/>
    <w:rsid w:val="007800D6"/>
    <w:rsid w:val="0078050C"/>
    <w:rsid w:val="00780ED4"/>
    <w:rsid w:val="00790082"/>
    <w:rsid w:val="00794C8A"/>
    <w:rsid w:val="007B0A02"/>
    <w:rsid w:val="007B2288"/>
    <w:rsid w:val="007B5EA9"/>
    <w:rsid w:val="007C4EAD"/>
    <w:rsid w:val="007D0860"/>
    <w:rsid w:val="007D18A5"/>
    <w:rsid w:val="007D23E7"/>
    <w:rsid w:val="007D24BB"/>
    <w:rsid w:val="007D5146"/>
    <w:rsid w:val="007D57A3"/>
    <w:rsid w:val="007E0746"/>
    <w:rsid w:val="007E0B9C"/>
    <w:rsid w:val="007E487F"/>
    <w:rsid w:val="007E5729"/>
    <w:rsid w:val="007E7242"/>
    <w:rsid w:val="007F0FE4"/>
    <w:rsid w:val="007F136B"/>
    <w:rsid w:val="00810060"/>
    <w:rsid w:val="008102D8"/>
    <w:rsid w:val="00811887"/>
    <w:rsid w:val="008228A6"/>
    <w:rsid w:val="00823CA0"/>
    <w:rsid w:val="00825715"/>
    <w:rsid w:val="0082653D"/>
    <w:rsid w:val="008370A7"/>
    <w:rsid w:val="00846E45"/>
    <w:rsid w:val="00865A6E"/>
    <w:rsid w:val="00867E98"/>
    <w:rsid w:val="00872096"/>
    <w:rsid w:val="008744D7"/>
    <w:rsid w:val="008768AE"/>
    <w:rsid w:val="00884C4C"/>
    <w:rsid w:val="0089067B"/>
    <w:rsid w:val="008A239E"/>
    <w:rsid w:val="008A401E"/>
    <w:rsid w:val="008A408A"/>
    <w:rsid w:val="008A5EE0"/>
    <w:rsid w:val="008A71D5"/>
    <w:rsid w:val="008B0618"/>
    <w:rsid w:val="008C154F"/>
    <w:rsid w:val="008C56E1"/>
    <w:rsid w:val="008D3FAC"/>
    <w:rsid w:val="008D6CC7"/>
    <w:rsid w:val="008E61A2"/>
    <w:rsid w:val="008E7295"/>
    <w:rsid w:val="00902384"/>
    <w:rsid w:val="0091354D"/>
    <w:rsid w:val="00916FDC"/>
    <w:rsid w:val="00921C58"/>
    <w:rsid w:val="00922057"/>
    <w:rsid w:val="00922E44"/>
    <w:rsid w:val="00933376"/>
    <w:rsid w:val="00942AF2"/>
    <w:rsid w:val="009452FB"/>
    <w:rsid w:val="009469E1"/>
    <w:rsid w:val="00946B61"/>
    <w:rsid w:val="0094706B"/>
    <w:rsid w:val="009556C1"/>
    <w:rsid w:val="00964574"/>
    <w:rsid w:val="00970930"/>
    <w:rsid w:val="009756C1"/>
    <w:rsid w:val="009829F3"/>
    <w:rsid w:val="00986D24"/>
    <w:rsid w:val="00987616"/>
    <w:rsid w:val="009A6A9C"/>
    <w:rsid w:val="009C1A5F"/>
    <w:rsid w:val="009C3A82"/>
    <w:rsid w:val="009C4A3E"/>
    <w:rsid w:val="009D72A3"/>
    <w:rsid w:val="009E0C2F"/>
    <w:rsid w:val="009E4C79"/>
    <w:rsid w:val="009F0CA5"/>
    <w:rsid w:val="00A02F6C"/>
    <w:rsid w:val="00A10336"/>
    <w:rsid w:val="00A103DF"/>
    <w:rsid w:val="00A1075A"/>
    <w:rsid w:val="00A212BA"/>
    <w:rsid w:val="00A21E59"/>
    <w:rsid w:val="00A22F8C"/>
    <w:rsid w:val="00A2664C"/>
    <w:rsid w:val="00A3466A"/>
    <w:rsid w:val="00A35206"/>
    <w:rsid w:val="00A37269"/>
    <w:rsid w:val="00A537A9"/>
    <w:rsid w:val="00A565FB"/>
    <w:rsid w:val="00A56C02"/>
    <w:rsid w:val="00A6250D"/>
    <w:rsid w:val="00A6305C"/>
    <w:rsid w:val="00A667A9"/>
    <w:rsid w:val="00A7626D"/>
    <w:rsid w:val="00A76616"/>
    <w:rsid w:val="00A76705"/>
    <w:rsid w:val="00A80C2D"/>
    <w:rsid w:val="00A839FA"/>
    <w:rsid w:val="00A84144"/>
    <w:rsid w:val="00AA112A"/>
    <w:rsid w:val="00AB234D"/>
    <w:rsid w:val="00AD3AC2"/>
    <w:rsid w:val="00AE1669"/>
    <w:rsid w:val="00AE2713"/>
    <w:rsid w:val="00AE4922"/>
    <w:rsid w:val="00AF656C"/>
    <w:rsid w:val="00AF7451"/>
    <w:rsid w:val="00B07666"/>
    <w:rsid w:val="00B078FC"/>
    <w:rsid w:val="00B10F4C"/>
    <w:rsid w:val="00B12C7E"/>
    <w:rsid w:val="00B13A4F"/>
    <w:rsid w:val="00B16F9A"/>
    <w:rsid w:val="00B218C7"/>
    <w:rsid w:val="00B21FF0"/>
    <w:rsid w:val="00B34A55"/>
    <w:rsid w:val="00B50556"/>
    <w:rsid w:val="00B5251A"/>
    <w:rsid w:val="00B62332"/>
    <w:rsid w:val="00B6410F"/>
    <w:rsid w:val="00B65666"/>
    <w:rsid w:val="00B67D70"/>
    <w:rsid w:val="00B70C11"/>
    <w:rsid w:val="00B71C4D"/>
    <w:rsid w:val="00B73B8B"/>
    <w:rsid w:val="00B7438E"/>
    <w:rsid w:val="00B76F73"/>
    <w:rsid w:val="00B809EE"/>
    <w:rsid w:val="00B84745"/>
    <w:rsid w:val="00B9508D"/>
    <w:rsid w:val="00B951B3"/>
    <w:rsid w:val="00BA286B"/>
    <w:rsid w:val="00BA717D"/>
    <w:rsid w:val="00BC1DAC"/>
    <w:rsid w:val="00BC2A7A"/>
    <w:rsid w:val="00BD515F"/>
    <w:rsid w:val="00BD549D"/>
    <w:rsid w:val="00BD6E6A"/>
    <w:rsid w:val="00BD7867"/>
    <w:rsid w:val="00BE4B07"/>
    <w:rsid w:val="00BE4EEF"/>
    <w:rsid w:val="00BF3687"/>
    <w:rsid w:val="00C00C22"/>
    <w:rsid w:val="00C0326E"/>
    <w:rsid w:val="00C04E21"/>
    <w:rsid w:val="00C10201"/>
    <w:rsid w:val="00C11628"/>
    <w:rsid w:val="00C27F11"/>
    <w:rsid w:val="00C31A0D"/>
    <w:rsid w:val="00C37841"/>
    <w:rsid w:val="00C41541"/>
    <w:rsid w:val="00C41C06"/>
    <w:rsid w:val="00C53EC0"/>
    <w:rsid w:val="00C81819"/>
    <w:rsid w:val="00C86F96"/>
    <w:rsid w:val="00C87696"/>
    <w:rsid w:val="00C9759C"/>
    <w:rsid w:val="00CA4405"/>
    <w:rsid w:val="00CB0D36"/>
    <w:rsid w:val="00CB0E81"/>
    <w:rsid w:val="00CB740A"/>
    <w:rsid w:val="00CD0369"/>
    <w:rsid w:val="00CD211C"/>
    <w:rsid w:val="00CE378A"/>
    <w:rsid w:val="00CE471E"/>
    <w:rsid w:val="00CE49C1"/>
    <w:rsid w:val="00CF24D1"/>
    <w:rsid w:val="00CF2D58"/>
    <w:rsid w:val="00CF46EF"/>
    <w:rsid w:val="00D00079"/>
    <w:rsid w:val="00D027B0"/>
    <w:rsid w:val="00D133CB"/>
    <w:rsid w:val="00D14F5F"/>
    <w:rsid w:val="00D167EB"/>
    <w:rsid w:val="00D24E56"/>
    <w:rsid w:val="00D37D40"/>
    <w:rsid w:val="00D43F17"/>
    <w:rsid w:val="00D466FA"/>
    <w:rsid w:val="00D538DF"/>
    <w:rsid w:val="00D609D4"/>
    <w:rsid w:val="00D63FF3"/>
    <w:rsid w:val="00D64B62"/>
    <w:rsid w:val="00D7233C"/>
    <w:rsid w:val="00D91C6C"/>
    <w:rsid w:val="00D92341"/>
    <w:rsid w:val="00DA277F"/>
    <w:rsid w:val="00DA451D"/>
    <w:rsid w:val="00DB1CD5"/>
    <w:rsid w:val="00DB66A4"/>
    <w:rsid w:val="00DD4131"/>
    <w:rsid w:val="00DE7A4F"/>
    <w:rsid w:val="00DF7C43"/>
    <w:rsid w:val="00E03271"/>
    <w:rsid w:val="00E048CC"/>
    <w:rsid w:val="00E055DE"/>
    <w:rsid w:val="00E062E2"/>
    <w:rsid w:val="00E079CF"/>
    <w:rsid w:val="00E10C9E"/>
    <w:rsid w:val="00E13B11"/>
    <w:rsid w:val="00E167B7"/>
    <w:rsid w:val="00E20AB8"/>
    <w:rsid w:val="00E23C7A"/>
    <w:rsid w:val="00E43260"/>
    <w:rsid w:val="00E4676E"/>
    <w:rsid w:val="00E5210D"/>
    <w:rsid w:val="00E57EF5"/>
    <w:rsid w:val="00E60B0A"/>
    <w:rsid w:val="00E70443"/>
    <w:rsid w:val="00E76B6E"/>
    <w:rsid w:val="00E777A3"/>
    <w:rsid w:val="00E85A88"/>
    <w:rsid w:val="00E875F4"/>
    <w:rsid w:val="00E875FE"/>
    <w:rsid w:val="00E915A1"/>
    <w:rsid w:val="00E935CE"/>
    <w:rsid w:val="00E93D48"/>
    <w:rsid w:val="00EA07F7"/>
    <w:rsid w:val="00EA0D16"/>
    <w:rsid w:val="00EA155C"/>
    <w:rsid w:val="00EA2DDD"/>
    <w:rsid w:val="00EB02BB"/>
    <w:rsid w:val="00EB59D2"/>
    <w:rsid w:val="00EC6F57"/>
    <w:rsid w:val="00EC7EE5"/>
    <w:rsid w:val="00ED3616"/>
    <w:rsid w:val="00ED5446"/>
    <w:rsid w:val="00EE06D6"/>
    <w:rsid w:val="00EF1944"/>
    <w:rsid w:val="00EF2AD9"/>
    <w:rsid w:val="00F0158D"/>
    <w:rsid w:val="00F07DE7"/>
    <w:rsid w:val="00F14235"/>
    <w:rsid w:val="00F17A23"/>
    <w:rsid w:val="00F3440E"/>
    <w:rsid w:val="00F35FF7"/>
    <w:rsid w:val="00F36BF0"/>
    <w:rsid w:val="00F40DCF"/>
    <w:rsid w:val="00F410FC"/>
    <w:rsid w:val="00F45E50"/>
    <w:rsid w:val="00F52611"/>
    <w:rsid w:val="00F562EF"/>
    <w:rsid w:val="00F57AD7"/>
    <w:rsid w:val="00F63030"/>
    <w:rsid w:val="00F72833"/>
    <w:rsid w:val="00F8196D"/>
    <w:rsid w:val="00F83CD6"/>
    <w:rsid w:val="00F8488F"/>
    <w:rsid w:val="00F8495E"/>
    <w:rsid w:val="00F92A02"/>
    <w:rsid w:val="00FA1B1D"/>
    <w:rsid w:val="00FB3C43"/>
    <w:rsid w:val="00FC1A00"/>
    <w:rsid w:val="00FC5751"/>
    <w:rsid w:val="00FD6A67"/>
    <w:rsid w:val="00FD7DE7"/>
    <w:rsid w:val="00FE7A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9739"/>
  <w15:docId w15:val="{788D726E-BC07-4DF6-9211-E5A9E18E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uiPriority w:val="99"/>
    <w:pPr>
      <w:spacing w:before="100" w:after="100"/>
    </w:pPr>
    <w:rPr>
      <w:rFonts w:cs="Arial Unicode MS"/>
      <w:color w:val="000000"/>
      <w:sz w:val="24"/>
      <w:szCs w:val="24"/>
      <w:u w:color="000000"/>
      <w:lang w:val="es-ES_tradnl"/>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377C3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7C36"/>
    <w:rPr>
      <w:rFonts w:ascii="Segoe UI" w:hAnsi="Segoe UI" w:cs="Segoe UI"/>
      <w:sz w:val="18"/>
      <w:szCs w:val="18"/>
      <w:lang w:val="en-US" w:eastAsia="en-US"/>
    </w:rPr>
  </w:style>
  <w:style w:type="paragraph" w:styleId="Encabezado">
    <w:name w:val="header"/>
    <w:basedOn w:val="Normal"/>
    <w:link w:val="EncabezadoCar"/>
    <w:uiPriority w:val="99"/>
    <w:unhideWhenUsed/>
    <w:rsid w:val="00003784"/>
    <w:pPr>
      <w:tabs>
        <w:tab w:val="center" w:pos="4513"/>
        <w:tab w:val="right" w:pos="9026"/>
      </w:tabs>
    </w:pPr>
  </w:style>
  <w:style w:type="character" w:customStyle="1" w:styleId="EncabezadoCar">
    <w:name w:val="Encabezado Car"/>
    <w:basedOn w:val="Fuentedeprrafopredeter"/>
    <w:link w:val="Encabezado"/>
    <w:uiPriority w:val="99"/>
    <w:rsid w:val="00003784"/>
    <w:rPr>
      <w:sz w:val="24"/>
      <w:szCs w:val="24"/>
      <w:lang w:val="en-US" w:eastAsia="en-US"/>
    </w:rPr>
  </w:style>
  <w:style w:type="paragraph" w:styleId="Piedepgina">
    <w:name w:val="footer"/>
    <w:basedOn w:val="Normal"/>
    <w:link w:val="PiedepginaCar"/>
    <w:uiPriority w:val="99"/>
    <w:unhideWhenUsed/>
    <w:rsid w:val="00003784"/>
    <w:pPr>
      <w:tabs>
        <w:tab w:val="center" w:pos="4513"/>
        <w:tab w:val="right" w:pos="9026"/>
      </w:tabs>
    </w:pPr>
  </w:style>
  <w:style w:type="character" w:customStyle="1" w:styleId="PiedepginaCar">
    <w:name w:val="Pie de página Car"/>
    <w:basedOn w:val="Fuentedeprrafopredeter"/>
    <w:link w:val="Piedepgina"/>
    <w:uiPriority w:val="99"/>
    <w:rsid w:val="00003784"/>
    <w:rPr>
      <w:sz w:val="24"/>
      <w:szCs w:val="24"/>
      <w:lang w:val="en-US" w:eastAsia="en-US"/>
    </w:rPr>
  </w:style>
  <w:style w:type="character" w:styleId="nfasis">
    <w:name w:val="Emphasis"/>
    <w:aliases w:val="Chapeau"/>
    <w:uiPriority w:val="20"/>
    <w:qFormat/>
    <w:rsid w:val="00003784"/>
    <w:rPr>
      <w:rFonts w:ascii="Maax Medium" w:hAnsi="Maax Medium"/>
      <w:iCs/>
      <w:sz w:val="28"/>
      <w:lang w:val="en-GB"/>
    </w:rPr>
  </w:style>
  <w:style w:type="paragraph" w:styleId="Sinespaciado">
    <w:name w:val="No Spacing"/>
    <w:uiPriority w:val="1"/>
    <w:qFormat/>
    <w:rsid w:val="00003784"/>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pPr>
    <w:rPr>
      <w:rFonts w:ascii="Maax" w:eastAsiaTheme="minorEastAsia" w:hAnsi="Maax" w:cstheme="minorBidi"/>
      <w:sz w:val="17"/>
      <w:szCs w:val="24"/>
      <w:bdr w:val="none" w:sz="0" w:space="0" w:color="auto"/>
      <w:lang w:eastAsia="es-ES"/>
    </w:rPr>
  </w:style>
  <w:style w:type="paragraph" w:styleId="Prrafodelista">
    <w:name w:val="List Paragraph"/>
    <w:basedOn w:val="Normal"/>
    <w:uiPriority w:val="34"/>
    <w:qFormat/>
    <w:rsid w:val="00515B78"/>
    <w:pPr>
      <w:ind w:left="720"/>
      <w:contextualSpacing/>
    </w:pPr>
  </w:style>
  <w:style w:type="paragraph" w:styleId="Revisin">
    <w:name w:val="Revision"/>
    <w:hidden/>
    <w:uiPriority w:val="99"/>
    <w:semiHidden/>
    <w:rsid w:val="0027698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276983"/>
    <w:rPr>
      <w:b/>
      <w:bCs/>
    </w:rPr>
  </w:style>
  <w:style w:type="character" w:customStyle="1" w:styleId="AsuntodelcomentarioCar">
    <w:name w:val="Asunto del comentario Car"/>
    <w:basedOn w:val="TextocomentarioCar"/>
    <w:link w:val="Asuntodelcomentario"/>
    <w:uiPriority w:val="99"/>
    <w:semiHidden/>
    <w:rsid w:val="00276983"/>
    <w:rPr>
      <w:b/>
      <w:bCs/>
      <w:lang w:val="en-US" w:eastAsia="en-US"/>
    </w:rPr>
  </w:style>
  <w:style w:type="character" w:customStyle="1" w:styleId="Mencinsinresolver1">
    <w:name w:val="Mención sin resolver1"/>
    <w:basedOn w:val="Fuentedeprrafopredeter"/>
    <w:uiPriority w:val="99"/>
    <w:semiHidden/>
    <w:unhideWhenUsed/>
    <w:rsid w:val="00BF3687"/>
    <w:rPr>
      <w:color w:val="605E5C"/>
      <w:shd w:val="clear" w:color="auto" w:fill="E1DFDD"/>
    </w:rPr>
  </w:style>
  <w:style w:type="character" w:styleId="Hipervnculovisitado">
    <w:name w:val="FollowedHyperlink"/>
    <w:basedOn w:val="Fuentedeprrafopredeter"/>
    <w:uiPriority w:val="99"/>
    <w:semiHidden/>
    <w:unhideWhenUsed/>
    <w:rsid w:val="00E60B0A"/>
    <w:rPr>
      <w:color w:val="FF00FF" w:themeColor="followedHyperlink"/>
      <w:u w:val="single"/>
    </w:rPr>
  </w:style>
  <w:style w:type="paragraph" w:customStyle="1" w:styleId="Body">
    <w:name w:val="Body"/>
    <w:rsid w:val="009E4C79"/>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Mencinsinresolver2">
    <w:name w:val="Mención sin resolver2"/>
    <w:basedOn w:val="Fuentedeprrafopredeter"/>
    <w:uiPriority w:val="99"/>
    <w:semiHidden/>
    <w:unhideWhenUsed/>
    <w:rsid w:val="00371594"/>
    <w:rPr>
      <w:color w:val="605E5C"/>
      <w:shd w:val="clear" w:color="auto" w:fill="E1DFDD"/>
    </w:rPr>
  </w:style>
  <w:style w:type="character" w:styleId="Mencinsinresolver">
    <w:name w:val="Unresolved Mention"/>
    <w:basedOn w:val="Fuentedeprrafopredeter"/>
    <w:uiPriority w:val="99"/>
    <w:semiHidden/>
    <w:unhideWhenUsed/>
    <w:rsid w:val="00D53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809999">
      <w:bodyDiv w:val="1"/>
      <w:marLeft w:val="0"/>
      <w:marRight w:val="0"/>
      <w:marTop w:val="0"/>
      <w:marBottom w:val="0"/>
      <w:divBdr>
        <w:top w:val="none" w:sz="0" w:space="0" w:color="auto"/>
        <w:left w:val="none" w:sz="0" w:space="0" w:color="auto"/>
        <w:bottom w:val="none" w:sz="0" w:space="0" w:color="auto"/>
        <w:right w:val="none" w:sz="0" w:space="0" w:color="auto"/>
      </w:divBdr>
    </w:div>
    <w:div w:id="719406214">
      <w:bodyDiv w:val="1"/>
      <w:marLeft w:val="0"/>
      <w:marRight w:val="0"/>
      <w:marTop w:val="0"/>
      <w:marBottom w:val="0"/>
      <w:divBdr>
        <w:top w:val="none" w:sz="0" w:space="0" w:color="auto"/>
        <w:left w:val="none" w:sz="0" w:space="0" w:color="auto"/>
        <w:bottom w:val="none" w:sz="0" w:space="0" w:color="auto"/>
        <w:right w:val="none" w:sz="0" w:space="0" w:color="auto"/>
      </w:divBdr>
    </w:div>
    <w:div w:id="847447474">
      <w:bodyDiv w:val="1"/>
      <w:marLeft w:val="0"/>
      <w:marRight w:val="0"/>
      <w:marTop w:val="0"/>
      <w:marBottom w:val="0"/>
      <w:divBdr>
        <w:top w:val="none" w:sz="0" w:space="0" w:color="auto"/>
        <w:left w:val="none" w:sz="0" w:space="0" w:color="auto"/>
        <w:bottom w:val="none" w:sz="0" w:space="0" w:color="auto"/>
        <w:right w:val="none" w:sz="0" w:space="0" w:color="auto"/>
      </w:divBdr>
    </w:div>
    <w:div w:id="1268393277">
      <w:bodyDiv w:val="1"/>
      <w:marLeft w:val="0"/>
      <w:marRight w:val="0"/>
      <w:marTop w:val="0"/>
      <w:marBottom w:val="0"/>
      <w:divBdr>
        <w:top w:val="none" w:sz="0" w:space="0" w:color="auto"/>
        <w:left w:val="none" w:sz="0" w:space="0" w:color="auto"/>
        <w:bottom w:val="none" w:sz="0" w:space="0" w:color="auto"/>
        <w:right w:val="none" w:sz="0" w:space="0" w:color="auto"/>
      </w:divBdr>
    </w:div>
    <w:div w:id="1374311507">
      <w:bodyDiv w:val="1"/>
      <w:marLeft w:val="0"/>
      <w:marRight w:val="0"/>
      <w:marTop w:val="0"/>
      <w:marBottom w:val="0"/>
      <w:divBdr>
        <w:top w:val="none" w:sz="0" w:space="0" w:color="auto"/>
        <w:left w:val="none" w:sz="0" w:space="0" w:color="auto"/>
        <w:bottom w:val="none" w:sz="0" w:space="0" w:color="auto"/>
        <w:right w:val="none" w:sz="0" w:space="0" w:color="auto"/>
      </w:divBdr>
    </w:div>
    <w:div w:id="1832410244">
      <w:bodyDiv w:val="1"/>
      <w:marLeft w:val="0"/>
      <w:marRight w:val="0"/>
      <w:marTop w:val="0"/>
      <w:marBottom w:val="0"/>
      <w:divBdr>
        <w:top w:val="none" w:sz="0" w:space="0" w:color="auto"/>
        <w:left w:val="none" w:sz="0" w:space="0" w:color="auto"/>
        <w:bottom w:val="none" w:sz="0" w:space="0" w:color="auto"/>
        <w:right w:val="none" w:sz="0" w:space="0" w:color="auto"/>
      </w:divBdr>
    </w:div>
    <w:div w:id="1905598595">
      <w:bodyDiv w:val="1"/>
      <w:marLeft w:val="0"/>
      <w:marRight w:val="0"/>
      <w:marTop w:val="0"/>
      <w:marBottom w:val="0"/>
      <w:divBdr>
        <w:top w:val="none" w:sz="0" w:space="0" w:color="auto"/>
        <w:left w:val="none" w:sz="0" w:space="0" w:color="auto"/>
        <w:bottom w:val="none" w:sz="0" w:space="0" w:color="auto"/>
        <w:right w:val="none" w:sz="0" w:space="0" w:color="auto"/>
      </w:divBdr>
    </w:div>
    <w:div w:id="1983078744">
      <w:bodyDiv w:val="1"/>
      <w:marLeft w:val="0"/>
      <w:marRight w:val="0"/>
      <w:marTop w:val="0"/>
      <w:marBottom w:val="0"/>
      <w:divBdr>
        <w:top w:val="none" w:sz="0" w:space="0" w:color="auto"/>
        <w:left w:val="none" w:sz="0" w:space="0" w:color="auto"/>
        <w:bottom w:val="none" w:sz="0" w:space="0" w:color="auto"/>
        <w:right w:val="none" w:sz="0" w:space="0" w:color="auto"/>
      </w:divBdr>
    </w:div>
    <w:div w:id="2102337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agigas@fundacionbotin.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ヒラギノ角ゴ ProN W3"/>
            <a:ea typeface="ヒラギノ角ゴ ProN W3"/>
            <a:cs typeface="ヒラギノ角ゴ ProN W3"/>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ヒラギノ角ゴ ProN W3"/>
            <a:ea typeface="ヒラギノ角ゴ ProN W3"/>
            <a:cs typeface="ヒラギノ角ゴ ProN W3"/>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53EC20A8258D24F904609BB87DD6445" ma:contentTypeVersion="18" ma:contentTypeDescription="Crear nuevo documento." ma:contentTypeScope="" ma:versionID="d47990bee9964c4eeb4f778df3b49518">
  <xsd:schema xmlns:xsd="http://www.w3.org/2001/XMLSchema" xmlns:xs="http://www.w3.org/2001/XMLSchema" xmlns:p="http://schemas.microsoft.com/office/2006/metadata/properties" xmlns:ns3="fab62104-6b79-401a-9bb0-be4fa882cdf3" xmlns:ns4="464a7ae2-12bb-4145-9d3d-30311a696457" targetNamespace="http://schemas.microsoft.com/office/2006/metadata/properties" ma:root="true" ma:fieldsID="bac4e5444217a85bbf1eca2b91a25f5f" ns3:_="" ns4:_="">
    <xsd:import namespace="fab62104-6b79-401a-9bb0-be4fa882cdf3"/>
    <xsd:import namespace="464a7ae2-12bb-4145-9d3d-30311a69645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62104-6b79-401a-9bb0-be4fa882c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4a7ae2-12bb-4145-9d3d-30311a69645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ab62104-6b79-401a-9bb0-be4fa882cdf3" xsi:nil="true"/>
  </documentManagement>
</p:properties>
</file>

<file path=customXml/itemProps1.xml><?xml version="1.0" encoding="utf-8"?>
<ds:datastoreItem xmlns:ds="http://schemas.openxmlformats.org/officeDocument/2006/customXml" ds:itemID="{43B657C4-0585-4E5A-BC2B-B651A52F06EF}">
  <ds:schemaRefs>
    <ds:schemaRef ds:uri="http://schemas.microsoft.com/sharepoint/v3/contenttype/forms"/>
  </ds:schemaRefs>
</ds:datastoreItem>
</file>

<file path=customXml/itemProps2.xml><?xml version="1.0" encoding="utf-8"?>
<ds:datastoreItem xmlns:ds="http://schemas.openxmlformats.org/officeDocument/2006/customXml" ds:itemID="{86063A92-F2E7-4117-BEDC-CABDD2061285}">
  <ds:schemaRefs>
    <ds:schemaRef ds:uri="http://schemas.openxmlformats.org/officeDocument/2006/bibliography"/>
  </ds:schemaRefs>
</ds:datastoreItem>
</file>

<file path=customXml/itemProps3.xml><?xml version="1.0" encoding="utf-8"?>
<ds:datastoreItem xmlns:ds="http://schemas.openxmlformats.org/officeDocument/2006/customXml" ds:itemID="{E6E8DB53-DCFC-4F30-A2D2-507F89657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62104-6b79-401a-9bb0-be4fa882cdf3"/>
    <ds:schemaRef ds:uri="464a7ae2-12bb-4145-9d3d-30311a696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D4F6D-BC89-4B05-9717-0B7702945698}">
  <ds:schemaRefs>
    <ds:schemaRef ds:uri="http://schemas.microsoft.com/office/2006/metadata/properties"/>
    <ds:schemaRef ds:uri="http://schemas.microsoft.com/office/infopath/2007/PartnerControls"/>
    <ds:schemaRef ds:uri="fab62104-6b79-401a-9bb0-be4fa882cdf3"/>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1639</Words>
  <Characters>9016</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Bárbara Rodríguez Muñoz</dc:creator>
  <cp:lastModifiedBy>Alba Tortosa</cp:lastModifiedBy>
  <cp:revision>8</cp:revision>
  <cp:lastPrinted>2025-07-17T08:31:00Z</cp:lastPrinted>
  <dcterms:created xsi:type="dcterms:W3CDTF">2026-08-28T12:34:00Z</dcterms:created>
  <dcterms:modified xsi:type="dcterms:W3CDTF">2026-09-01T08:51:00Z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0x010100F53EC20A8258D24F904609BB87DD6445</vt:lpwstr>
  </property>
</Properties>
</file>